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E7" w:rsidRDefault="00BE2AE7" w:rsidP="00672D59">
      <w:pPr>
        <w:jc w:val="right"/>
      </w:pPr>
    </w:p>
    <w:p w:rsidR="00FE63EB" w:rsidRDefault="00FE63EB" w:rsidP="00FE63EB">
      <w:pPr>
        <w:pStyle w:val="szakasz"/>
        <w:rPr>
          <w:sz w:val="28"/>
          <w:szCs w:val="28"/>
        </w:rPr>
      </w:pPr>
      <w:r>
        <w:rPr>
          <w:sz w:val="28"/>
          <w:szCs w:val="28"/>
        </w:rPr>
        <w:t>1. SZAKASZ: Az anyag/</w:t>
      </w:r>
      <w:proofErr w:type="gramStart"/>
      <w:r>
        <w:rPr>
          <w:sz w:val="28"/>
          <w:szCs w:val="28"/>
        </w:rPr>
        <w:t>keverék forgalmazó</w:t>
      </w:r>
      <w:proofErr w:type="gramEnd"/>
      <w:r>
        <w:rPr>
          <w:sz w:val="28"/>
          <w:szCs w:val="28"/>
        </w:rPr>
        <w:t xml:space="preserve"> azonosítása </w:t>
      </w:r>
    </w:p>
    <w:p w:rsidR="00DE5EA3" w:rsidRPr="00253612" w:rsidRDefault="00DE5EA3" w:rsidP="00587A56">
      <w:pPr>
        <w:rPr>
          <w:b/>
        </w:rPr>
      </w:pPr>
      <w:r w:rsidRPr="00253612">
        <w:rPr>
          <w:b/>
        </w:rPr>
        <w:t xml:space="preserve">1.1. </w:t>
      </w:r>
      <w:proofErr w:type="gramStart"/>
      <w:r w:rsidRPr="00253612">
        <w:rPr>
          <w:b/>
        </w:rPr>
        <w:t>Termék azonosító</w:t>
      </w:r>
      <w:proofErr w:type="gramEnd"/>
    </w:p>
    <w:p w:rsidR="00DE5EA3" w:rsidRDefault="00DE5EA3" w:rsidP="00587A56">
      <w:r w:rsidRPr="0023271F">
        <w:rPr>
          <w:b/>
        </w:rPr>
        <w:t>Termék megnevezése</w:t>
      </w:r>
      <w:r w:rsidR="00BE2AE7">
        <w:tab/>
      </w:r>
      <w:proofErr w:type="spellStart"/>
      <w:r w:rsidR="00BE2AE7">
        <w:t>Textar</w:t>
      </w:r>
      <w:proofErr w:type="spellEnd"/>
      <w:r w:rsidR="00BE2AE7">
        <w:t xml:space="preserve"> Fékfolyadék DOT 3 – fokozattal, 260°C alatti forrásponttal</w:t>
      </w:r>
    </w:p>
    <w:p w:rsidR="00BE2AE7" w:rsidRPr="00BE2AE7" w:rsidRDefault="00BE2AE7" w:rsidP="00587A56">
      <w:r w:rsidRPr="00BE2AE7">
        <w:t>Termékazonosító</w:t>
      </w:r>
      <w:r w:rsidR="00DE5EA3" w:rsidRPr="00BE2AE7">
        <w:tab/>
      </w:r>
      <w:r>
        <w:t>95001200</w:t>
      </w:r>
    </w:p>
    <w:p w:rsidR="00DE5EA3" w:rsidRDefault="00BE2AE7" w:rsidP="00587A56">
      <w:r>
        <w:rPr>
          <w:rFonts w:ascii="Arial,Bold" w:hAnsi="Arial,Bold" w:cs="Arial,Bold"/>
          <w:b/>
          <w:bCs/>
        </w:rPr>
        <w:t>Az osztályozás</w:t>
      </w:r>
      <w:r w:rsidR="0002453C">
        <w:rPr>
          <w:rFonts w:ascii="Arial,Bold" w:hAnsi="Arial,Bold" w:cs="Arial,Bold"/>
          <w:b/>
          <w:bCs/>
        </w:rPr>
        <w:t>t</w:t>
      </w:r>
      <w:r>
        <w:rPr>
          <w:rFonts w:ascii="Arial,Bold" w:hAnsi="Arial,Bold" w:cs="Arial,Bold"/>
          <w:b/>
          <w:bCs/>
        </w:rPr>
        <w:t xml:space="preserve"> meghatározó összetevők</w:t>
      </w:r>
      <w:r w:rsidR="0002453C">
        <w:rPr>
          <w:rFonts w:ascii="Arial,Bold" w:hAnsi="Arial,Bold" w:cs="Arial,Bold"/>
          <w:b/>
          <w:bCs/>
        </w:rPr>
        <w:t>:</w:t>
      </w:r>
      <w:r w:rsidR="0002453C">
        <w:rPr>
          <w:rFonts w:ascii="Arial,Bold" w:hAnsi="Arial,Bold" w:cs="Arial,Bold"/>
          <w:b/>
          <w:bCs/>
        </w:rPr>
        <w:tab/>
      </w:r>
      <w:r w:rsidR="00DE5EA3">
        <w:rPr>
          <w:rFonts w:ascii="Arial,Bold" w:hAnsi="Arial,Bold" w:cs="Arial,Bold"/>
          <w:b/>
          <w:bCs/>
        </w:rPr>
        <w:t xml:space="preserve"> </w:t>
      </w:r>
      <w:proofErr w:type="spellStart"/>
      <w:r w:rsidR="0002453C">
        <w:t>Polialkilén</w:t>
      </w:r>
      <w:proofErr w:type="spellEnd"/>
      <w:r>
        <w:t xml:space="preserve"> </w:t>
      </w:r>
      <w:proofErr w:type="spellStart"/>
      <w:r w:rsidR="0002453C">
        <w:t>glikoléterek</w:t>
      </w:r>
      <w:proofErr w:type="spellEnd"/>
      <w:r w:rsidR="0002453C">
        <w:t xml:space="preserve"> és </w:t>
      </w:r>
      <w:proofErr w:type="spellStart"/>
      <w:r w:rsidR="0002453C">
        <w:t>poliglikolok</w:t>
      </w:r>
      <w:proofErr w:type="spellEnd"/>
      <w:r w:rsidR="0002453C">
        <w:t xml:space="preserve"> </w:t>
      </w:r>
      <w:proofErr w:type="spellStart"/>
      <w:r w:rsidR="0002453C">
        <w:t>dietilén-glikol</w:t>
      </w:r>
      <w:proofErr w:type="spellEnd"/>
      <w:r w:rsidR="0002453C">
        <w:t xml:space="preserve"> tart</w:t>
      </w:r>
      <w:r w:rsidR="0002453C">
        <w:t>a</w:t>
      </w:r>
      <w:r w:rsidR="0002453C">
        <w:t>lommal</w:t>
      </w:r>
    </w:p>
    <w:p w:rsidR="00DE5EA3" w:rsidRDefault="00DE5EA3" w:rsidP="00587A56"/>
    <w:p w:rsidR="00DE5EA3" w:rsidRDefault="00DE5EA3" w:rsidP="00DE5EA3">
      <w:pPr>
        <w:pStyle w:val="Default"/>
      </w:pPr>
      <w:r>
        <w:rPr>
          <w:rFonts w:ascii="Arial,Bold" w:hAnsi="Arial,Bold" w:cs="Arial,Bold"/>
          <w:b/>
          <w:bCs/>
          <w:sz w:val="18"/>
          <w:szCs w:val="18"/>
        </w:rPr>
        <w:t xml:space="preserve">1.2.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891"/>
      </w:tblGrid>
      <w:tr w:rsidR="00DE5EA3" w:rsidTr="00587A56">
        <w:trPr>
          <w:trHeight w:val="84"/>
        </w:trPr>
        <w:tc>
          <w:tcPr>
            <w:tcW w:w="7891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Az anyag vagy keverék megfelelő azonosított felhasználása, illetve ellenjavallt felhaszn</w:t>
            </w:r>
            <w:r>
              <w:rPr>
                <w:b/>
                <w:bCs/>
                <w:sz w:val="18"/>
                <w:szCs w:val="18"/>
              </w:rPr>
              <w:t>á</w:t>
            </w:r>
            <w:r>
              <w:rPr>
                <w:b/>
                <w:bCs/>
                <w:sz w:val="18"/>
                <w:szCs w:val="18"/>
              </w:rPr>
              <w:t xml:space="preserve">lása </w:t>
            </w:r>
          </w:p>
        </w:tc>
      </w:tr>
    </w:tbl>
    <w:p w:rsidR="00DE5EA3" w:rsidRDefault="00DE5EA3" w:rsidP="00587A56">
      <w:r>
        <w:rPr>
          <w:b/>
        </w:rPr>
        <w:t xml:space="preserve">Beazonosított felhasználásai: </w:t>
      </w:r>
      <w:r w:rsidRPr="00702268">
        <w:t>Hidraulika</w:t>
      </w:r>
      <w:r w:rsidR="00DE6DA5">
        <w:t>i</w:t>
      </w:r>
      <w:r w:rsidRPr="00702268">
        <w:t xml:space="preserve"> folyadék járműipari fék és kuplung rendszerek</w:t>
      </w:r>
      <w:r w:rsidR="00DE6DA5">
        <w:t xml:space="preserve"> használatához</w:t>
      </w:r>
      <w:r>
        <w:rPr>
          <w:b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</w:tblGrid>
      <w:tr w:rsidR="00DE5EA3" w:rsidTr="00587A56">
        <w:trPr>
          <w:trHeight w:val="84"/>
        </w:trPr>
        <w:tc>
          <w:tcPr>
            <w:tcW w:w="5353" w:type="dxa"/>
          </w:tcPr>
          <w:p w:rsidR="00DE5EA3" w:rsidRDefault="00DE5EA3" w:rsidP="00587A56">
            <w:pPr>
              <w:pStyle w:val="Default"/>
              <w:ind w:right="-797"/>
              <w:rPr>
                <w:sz w:val="18"/>
                <w:szCs w:val="18"/>
              </w:rPr>
            </w:pPr>
          </w:p>
        </w:tc>
      </w:tr>
    </w:tbl>
    <w:p w:rsidR="00DE5EA3" w:rsidRDefault="00DE5EA3" w:rsidP="00587A56">
      <w:r>
        <w:t>1.3</w:t>
      </w:r>
      <w:r w:rsidR="00587A56">
        <w:t xml:space="preserve"> </w:t>
      </w:r>
      <w:r>
        <w:t>A biztonsági adatlap szállítójának adatai:</w:t>
      </w:r>
    </w:p>
    <w:p w:rsidR="00DE5EA3" w:rsidRDefault="00587A56" w:rsidP="00587A56">
      <w:r>
        <w:t xml:space="preserve">1.3.1 </w:t>
      </w:r>
      <w:r w:rsidR="00DE5EA3">
        <w:t>Gyártó/Forgalmazó</w:t>
      </w:r>
    </w:p>
    <w:p w:rsidR="00DE5EA3" w:rsidRDefault="00DE5EA3" w:rsidP="00587A56">
      <w:r>
        <w:rPr>
          <w:rFonts w:ascii="Arial,Bold" w:hAnsi="Arial,Bold" w:cs="Arial,Bold"/>
          <w:b/>
          <w:bCs/>
        </w:rPr>
        <w:t>Cégnév:</w:t>
      </w:r>
      <w:r>
        <w:rPr>
          <w:rFonts w:ascii="Arial,Bold" w:hAnsi="Arial,Bold" w:cs="Arial,Bold"/>
          <w:b/>
          <w:bCs/>
        </w:rPr>
        <w:tab/>
      </w:r>
      <w:r w:rsidR="00DE6DA5">
        <w:t xml:space="preserve">TMD </w:t>
      </w:r>
      <w:proofErr w:type="spellStart"/>
      <w:r w:rsidR="00DE6DA5">
        <w:t>Friction</w:t>
      </w:r>
      <w:proofErr w:type="spellEnd"/>
      <w:r w:rsidR="00DE6DA5">
        <w:t xml:space="preserve"> </w:t>
      </w:r>
      <w:proofErr w:type="spellStart"/>
      <w:r w:rsidR="00DE6DA5">
        <w:t>Services</w:t>
      </w:r>
      <w:proofErr w:type="spellEnd"/>
      <w:r w:rsidR="00DE6DA5">
        <w:t xml:space="preserve"> GmbH</w:t>
      </w:r>
    </w:p>
    <w:p w:rsidR="00DE5EA3" w:rsidRDefault="00DE5EA3" w:rsidP="00587A56">
      <w:r>
        <w:rPr>
          <w:rFonts w:ascii="Arial,Bold" w:hAnsi="Arial,Bold" w:cs="Arial,Bold"/>
          <w:b/>
          <w:bCs/>
        </w:rPr>
        <w:t xml:space="preserve">Cím: 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proofErr w:type="spellStart"/>
      <w:r w:rsidR="00DE6DA5">
        <w:t>Schlebuscher</w:t>
      </w:r>
      <w:proofErr w:type="spellEnd"/>
      <w:r w:rsidR="00DE6DA5">
        <w:t xml:space="preserve"> </w:t>
      </w:r>
      <w:proofErr w:type="spellStart"/>
      <w:r w:rsidR="00DE6DA5">
        <w:t>Str</w:t>
      </w:r>
      <w:proofErr w:type="spellEnd"/>
      <w:r w:rsidR="00DE6DA5">
        <w:t>. 99</w:t>
      </w:r>
    </w:p>
    <w:p w:rsidR="00DE5EA3" w:rsidRDefault="00DE6DA5" w:rsidP="00587A56">
      <w:r>
        <w:t xml:space="preserve">51381 Leverkusen / </w:t>
      </w:r>
      <w:proofErr w:type="spellStart"/>
      <w:r>
        <w:t>Germany</w:t>
      </w:r>
      <w:proofErr w:type="spellEnd"/>
    </w:p>
    <w:p w:rsidR="00DE6DA5" w:rsidRDefault="00DE6DA5" w:rsidP="00587A56">
      <w:r w:rsidRPr="00DE6DA5">
        <w:rPr>
          <w:b/>
        </w:rPr>
        <w:t>Honlap:</w:t>
      </w:r>
      <w:r>
        <w:t xml:space="preserve"> </w:t>
      </w:r>
      <w:r>
        <w:tab/>
        <w:t>www.tmdfriction.com</w:t>
      </w:r>
    </w:p>
    <w:p w:rsidR="00DE5EA3" w:rsidRDefault="00DE5EA3" w:rsidP="00587A56">
      <w:proofErr w:type="gramStart"/>
      <w:r>
        <w:t>Kontakt személy</w:t>
      </w:r>
      <w:proofErr w:type="gramEnd"/>
      <w:r>
        <w:t>:</w:t>
      </w:r>
      <w:r>
        <w:tab/>
      </w:r>
      <w:r w:rsidR="00DE6DA5">
        <w:t xml:space="preserve">Mr. </w:t>
      </w:r>
      <w:proofErr w:type="spellStart"/>
      <w:r w:rsidR="00DE6DA5">
        <w:t>Duncel</w:t>
      </w:r>
      <w:proofErr w:type="spellEnd"/>
    </w:p>
    <w:p w:rsidR="00DE6DA5" w:rsidRDefault="00DE6DA5" w:rsidP="00587A56">
      <w:r>
        <w:tab/>
        <w:t>Tel. +49 (2171)703 2348</w:t>
      </w:r>
    </w:p>
    <w:p w:rsidR="00DE5EA3" w:rsidRDefault="00DE6DA5" w:rsidP="00587A56">
      <w:r>
        <w:t>E</w:t>
      </w:r>
      <w:r w:rsidR="00DE5EA3">
        <w:t xml:space="preserve">-mail: </w:t>
      </w:r>
      <w:hyperlink r:id="rId6" w:history="1">
        <w:r w:rsidR="00587A56" w:rsidRPr="00DD12C8">
          <w:rPr>
            <w:rStyle w:val="Hiperhivatkozs"/>
          </w:rPr>
          <w:t>michael.dunkel@tmdfriction.com</w:t>
        </w:r>
      </w:hyperlink>
    </w:p>
    <w:p w:rsidR="00587A56" w:rsidRDefault="00587A56" w:rsidP="00587A56">
      <w:r w:rsidRPr="00587A56">
        <w:t>1.3.2</w:t>
      </w:r>
      <w:r>
        <w:t xml:space="preserve"> Magyarországi forgalmazó</w:t>
      </w:r>
    </w:p>
    <w:p w:rsidR="00587A56" w:rsidRPr="00587A56" w:rsidRDefault="00587A56" w:rsidP="00587A56">
      <w:r>
        <w:rPr>
          <w:b/>
        </w:rPr>
        <w:t>Cégnév:</w:t>
      </w:r>
      <w:r>
        <w:rPr>
          <w:b/>
        </w:rPr>
        <w:tab/>
      </w:r>
      <w:r w:rsidRPr="00587A56">
        <w:t>Láng Kereskedelmi Kft</w:t>
      </w:r>
    </w:p>
    <w:p w:rsidR="00587A56" w:rsidRPr="00587A56" w:rsidRDefault="00587A56" w:rsidP="00587A56">
      <w:r>
        <w:rPr>
          <w:b/>
        </w:rPr>
        <w:t>Cím:</w:t>
      </w:r>
      <w:r>
        <w:rPr>
          <w:b/>
        </w:rPr>
        <w:tab/>
      </w:r>
      <w:r w:rsidRPr="00587A56">
        <w:t>1138, Budapest, Váci út 156</w:t>
      </w:r>
    </w:p>
    <w:p w:rsidR="00587A56" w:rsidRDefault="00587A56" w:rsidP="00587A56">
      <w:r>
        <w:rPr>
          <w:b/>
        </w:rPr>
        <w:t>Tel:</w:t>
      </w:r>
      <w:r>
        <w:rPr>
          <w:b/>
        </w:rPr>
        <w:tab/>
      </w:r>
      <w:r>
        <w:t>+36-1-451-9600</w:t>
      </w:r>
    </w:p>
    <w:p w:rsidR="00587A56" w:rsidRDefault="00587A56" w:rsidP="00587A56">
      <w:r>
        <w:rPr>
          <w:b/>
        </w:rPr>
        <w:t>Fax:</w:t>
      </w:r>
      <w:r>
        <w:tab/>
        <w:t>+36-1-451-9698</w:t>
      </w:r>
    </w:p>
    <w:p w:rsidR="00587A56" w:rsidRPr="00587A56" w:rsidRDefault="00587A56" w:rsidP="00587A56">
      <w:r w:rsidRPr="00587A56">
        <w:rPr>
          <w:b/>
        </w:rPr>
        <w:t>E-mail</w:t>
      </w:r>
      <w:r>
        <w:rPr>
          <w:b/>
        </w:rPr>
        <w:tab/>
      </w:r>
      <w:r>
        <w:t>info@langauto.hu</w:t>
      </w:r>
    </w:p>
    <w:p w:rsidR="00587A56" w:rsidRDefault="00587A56" w:rsidP="00587A56">
      <w:r w:rsidRPr="00587A56">
        <w:t>1.4</w:t>
      </w:r>
      <w:r>
        <w:t xml:space="preserve"> Sürgősségi információ</w:t>
      </w:r>
      <w:r w:rsidR="00DE5EA3">
        <w:t>:</w:t>
      </w:r>
    </w:p>
    <w:p w:rsidR="00587A56" w:rsidRDefault="00587A56" w:rsidP="00587A56">
      <w:r>
        <w:t>Egészségügyi és Toxikológiai Tájékoztató Szolgálat (ETTSZ)</w:t>
      </w:r>
    </w:p>
    <w:p w:rsidR="00587A56" w:rsidRDefault="00587A56" w:rsidP="00587A56">
      <w:r>
        <w:t>1096, Budapest, Nagyvárad tér 2.</w:t>
      </w:r>
    </w:p>
    <w:p w:rsidR="00587A56" w:rsidRPr="00587A56" w:rsidRDefault="00587A56" w:rsidP="00587A56">
      <w:r>
        <w:t xml:space="preserve">Tel: (36) 80/201-199; </w:t>
      </w:r>
      <w:r w:rsidRPr="00587A56">
        <w:t>(36) 1/476-6464 (éjjel-nappal hívható)</w:t>
      </w:r>
    </w:p>
    <w:p w:rsidR="00DE5EA3" w:rsidRDefault="00DE5EA3" w:rsidP="00DE5EA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DE5EA3" w:rsidTr="00587A56">
        <w:trPr>
          <w:trHeight w:val="84"/>
        </w:trPr>
        <w:tc>
          <w:tcPr>
            <w:tcW w:w="9180" w:type="dxa"/>
          </w:tcPr>
          <w:p w:rsidR="00DE5EA3" w:rsidRDefault="00DE5EA3" w:rsidP="00587A56">
            <w:pPr>
              <w:pStyle w:val="szakasz"/>
            </w:pPr>
            <w:r>
              <w:t xml:space="preserve"> 2. SZAKASZ: Veszélyesség szerinti besorolás </w:t>
            </w:r>
          </w:p>
        </w:tc>
      </w:tr>
    </w:tbl>
    <w:p w:rsidR="00DE5EA3" w:rsidRDefault="00DE5EA3" w:rsidP="00587A56"/>
    <w:p w:rsidR="00DE5EA3" w:rsidRDefault="00DE5EA3" w:rsidP="00587A56">
      <w:r>
        <w:t>2.1. Az anyag vagy keverék osztályozása</w:t>
      </w:r>
    </w:p>
    <w:p w:rsidR="00DE5EA3" w:rsidRDefault="00DE5EA3" w:rsidP="00587A56">
      <w:pPr>
        <w:pStyle w:val="alhzott"/>
      </w:pPr>
      <w:r w:rsidRPr="00587A56">
        <w:t xml:space="preserve">Besorolás a 67/548/EEC </w:t>
      </w:r>
      <w:proofErr w:type="spellStart"/>
      <w:r w:rsidRPr="00587A56">
        <w:t>o</w:t>
      </w:r>
      <w:r w:rsidR="00587A56">
        <w:t>r</w:t>
      </w:r>
      <w:proofErr w:type="spellEnd"/>
      <w:r w:rsidR="00587A56">
        <w:t xml:space="preserve"> 1999/45/EC irányelvek szerint: </w:t>
      </w:r>
    </w:p>
    <w:p w:rsidR="00587A56" w:rsidRDefault="00587A56" w:rsidP="00587A56">
      <w:pPr>
        <w:ind w:firstLine="708"/>
      </w:pPr>
      <w:r>
        <w:t>„Irritáló” R36 „Szemek irritációja”</w:t>
      </w:r>
    </w:p>
    <w:p w:rsidR="00587A56" w:rsidRPr="00587A56" w:rsidRDefault="00DE5EA3" w:rsidP="00587A56">
      <w:pPr>
        <w:pStyle w:val="alhzott"/>
      </w:pPr>
      <w:r>
        <w:t xml:space="preserve">Besorolás (EC) </w:t>
      </w:r>
      <w:proofErr w:type="gramStart"/>
      <w:r>
        <w:t>No</w:t>
      </w:r>
      <w:proofErr w:type="gramEnd"/>
      <w:r>
        <w:t xml:space="preserve"> 1</w:t>
      </w:r>
      <w:r w:rsidR="00587A56">
        <w:t>272/2008 szabályozás szerint:</w:t>
      </w:r>
    </w:p>
    <w:p w:rsidR="00587A56" w:rsidRDefault="00587A56" w:rsidP="00587A56">
      <w:pPr>
        <w:ind w:firstLine="708"/>
      </w:pPr>
      <w:r>
        <w:t xml:space="preserve">Speciális célszervi mérgezés </w:t>
      </w:r>
      <w:r w:rsidR="007C3995">
        <w:t>–</w:t>
      </w:r>
      <w:r>
        <w:t xml:space="preserve"> </w:t>
      </w:r>
      <w:r w:rsidR="007C3995">
        <w:t>ismétlődő érintkezéskor – 2. kategória.</w:t>
      </w:r>
    </w:p>
    <w:p w:rsidR="007C3995" w:rsidRDefault="007C3995" w:rsidP="007C3995">
      <w:pPr>
        <w:ind w:left="708"/>
      </w:pPr>
      <w:r>
        <w:t>H373 – Ismétlődő lenyelés vagy hosszas ideig fennálló érintkezés esetén szerv-, (vese) károsodást okozhat.</w:t>
      </w:r>
    </w:p>
    <w:p w:rsidR="007C3995" w:rsidRDefault="007C3995" w:rsidP="007C3995">
      <w:pPr>
        <w:ind w:left="708"/>
      </w:pPr>
      <w:r>
        <w:t>Szemirritáció – 2. kategória</w:t>
      </w:r>
    </w:p>
    <w:p w:rsidR="00DE5EA3" w:rsidRDefault="00672D59" w:rsidP="00587A56">
      <w:pPr>
        <w:ind w:firstLine="708"/>
      </w:pPr>
      <w:r>
        <w:t xml:space="preserve">H319 </w:t>
      </w:r>
      <w:r w:rsidR="00DE5EA3">
        <w:t xml:space="preserve">Súlyos </w:t>
      </w:r>
      <w:r>
        <w:t>szemirritáció.</w:t>
      </w:r>
    </w:p>
    <w:p w:rsidR="00DE5EA3" w:rsidRPr="00672D59" w:rsidRDefault="00DE5EA3" w:rsidP="00587A56">
      <w:pPr>
        <w:rPr>
          <w:b/>
        </w:rPr>
      </w:pPr>
      <w:r w:rsidRPr="00672D59">
        <w:rPr>
          <w:b/>
        </w:rPr>
        <w:t>2.2. Címkézési elemek</w:t>
      </w:r>
    </w:p>
    <w:p w:rsidR="00DE5EA3" w:rsidRDefault="00672D59" w:rsidP="00672D59">
      <w:pPr>
        <w:pStyle w:val="alhzott"/>
      </w:pPr>
      <w:r>
        <w:t xml:space="preserve">Címke az 1999/45/EC (DPD) </w:t>
      </w:r>
      <w:r w:rsidR="00DE5EA3">
        <w:t>szabályozás szerint</w:t>
      </w:r>
    </w:p>
    <w:p w:rsidR="00672D59" w:rsidRDefault="00672D59" w:rsidP="00587A56">
      <w:r>
        <w:t>Veszélyességi jel:</w:t>
      </w:r>
    </w:p>
    <w:p w:rsidR="00672D59" w:rsidRDefault="00672D59" w:rsidP="00587A56">
      <w:r>
        <w:rPr>
          <w:noProof/>
        </w:rPr>
        <w:drawing>
          <wp:inline distT="0" distB="0" distL="0" distR="0">
            <wp:extent cx="752475" cy="723900"/>
            <wp:effectExtent l="19050" t="0" r="9525" b="0"/>
            <wp:docPr id="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D59" w:rsidRDefault="00672D59" w:rsidP="00587A56">
      <w:r>
        <w:t>Irritáló</w:t>
      </w:r>
    </w:p>
    <w:p w:rsidR="00672D59" w:rsidRDefault="00672D59" w:rsidP="00587A56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Kockázati szabályozások:</w:t>
      </w:r>
    </w:p>
    <w:p w:rsidR="00672D59" w:rsidRDefault="00672D59" w:rsidP="00587A56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-R36 – Szemirritáló hatású</w:t>
      </w:r>
    </w:p>
    <w:p w:rsidR="00672D59" w:rsidRDefault="00672D59" w:rsidP="00587A56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Biztonsági szabályozások:</w:t>
      </w:r>
    </w:p>
    <w:p w:rsidR="00672D59" w:rsidRDefault="00672D59" w:rsidP="00587A56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-S2 – Gyermekek elől elzárva tárolandó.</w:t>
      </w:r>
    </w:p>
    <w:p w:rsidR="00672D59" w:rsidRDefault="00672D59" w:rsidP="00587A56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lastRenderedPageBreak/>
        <w:t>-S26 (módosított) – Szemmel való érintkezés esetén, bő vízzel azonnal öblítse ki, kb. 10 percig. Fennálló irritáció esetén forduljon orvoshoz!</w:t>
      </w:r>
    </w:p>
    <w:p w:rsidR="00672D59" w:rsidRPr="00672D59" w:rsidRDefault="00672D59" w:rsidP="00587A56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-S46 – Lenyelés esetén azonnal forduljon orvoshoz és mutassa meg ezt a tárolót/címkét!</w:t>
      </w:r>
    </w:p>
    <w:p w:rsidR="00672D59" w:rsidRDefault="00672D59" w:rsidP="00672D59">
      <w:pPr>
        <w:pStyle w:val="alhzott"/>
      </w:pPr>
      <w:r>
        <w:t>Címke az 1999/45/EC (DPD) szabályozás szerint</w:t>
      </w:r>
    </w:p>
    <w:p w:rsidR="00672D59" w:rsidRPr="00672D59" w:rsidRDefault="00672D59" w:rsidP="00672D59">
      <w:r>
        <w:t>Kockázati tényezőket szimbolizáló jelek:</w:t>
      </w:r>
    </w:p>
    <w:p w:rsidR="00672D59" w:rsidRDefault="00672D59" w:rsidP="00587A56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noProof/>
        </w:rPr>
        <w:drawing>
          <wp:inline distT="0" distB="0" distL="0" distR="0">
            <wp:extent cx="1581150" cy="800100"/>
            <wp:effectExtent l="19050" t="0" r="0" b="0"/>
            <wp:docPr id="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A3" w:rsidRDefault="00672D59" w:rsidP="00587A56">
      <w:r>
        <w:t xml:space="preserve">Jelzőszó: </w:t>
      </w:r>
      <w:r>
        <w:tab/>
      </w:r>
      <w:r w:rsidR="00DE5EA3" w:rsidRPr="001E628C">
        <w:t>Veszély</w:t>
      </w:r>
      <w:r w:rsidR="00DE5EA3">
        <w:t xml:space="preserve"> </w:t>
      </w:r>
    </w:p>
    <w:p w:rsidR="00DE5EA3" w:rsidRPr="00672D59" w:rsidRDefault="00DE5EA3" w:rsidP="00587A56">
      <w:pPr>
        <w:rPr>
          <w:b/>
        </w:rPr>
      </w:pPr>
      <w:r w:rsidRPr="00672D59">
        <w:rPr>
          <w:b/>
        </w:rPr>
        <w:t xml:space="preserve">Veszélyjelzések: </w:t>
      </w:r>
    </w:p>
    <w:p w:rsidR="00DE5EA3" w:rsidRDefault="00DE5EA3" w:rsidP="00587A56">
      <w:r>
        <w:t>H31</w:t>
      </w:r>
      <w:r w:rsidR="00672D59">
        <w:t>9</w:t>
      </w:r>
      <w:r w:rsidR="00E94B90">
        <w:t xml:space="preserve"> – Komoly s</w:t>
      </w:r>
      <w:r>
        <w:t>zemkárosodást okoz.</w:t>
      </w:r>
    </w:p>
    <w:p w:rsidR="00DE5EA3" w:rsidRDefault="00E94B90" w:rsidP="00587A56">
      <w:r>
        <w:t>H373</w:t>
      </w:r>
      <w:r w:rsidR="00DE5EA3">
        <w:t xml:space="preserve"> – </w:t>
      </w:r>
      <w:r>
        <w:t>Vesekárosodást okozhat hosszas vagy ismételt érintkezés, lenyelés esetén.</w:t>
      </w:r>
    </w:p>
    <w:p w:rsidR="00DE5EA3" w:rsidRPr="00E94B90" w:rsidRDefault="00DE5EA3" w:rsidP="00587A56">
      <w:pPr>
        <w:rPr>
          <w:b/>
        </w:rPr>
      </w:pPr>
      <w:r w:rsidRPr="00E94B90">
        <w:rPr>
          <w:b/>
        </w:rPr>
        <w:t>Figyelemfelhívó jelzések:</w:t>
      </w:r>
    </w:p>
    <w:p w:rsidR="00DE5EA3" w:rsidRPr="00E94B90" w:rsidRDefault="00E94B90" w:rsidP="00587A56">
      <w:pPr>
        <w:rPr>
          <w:b/>
        </w:rPr>
      </w:pPr>
      <w:r>
        <w:rPr>
          <w:b/>
        </w:rPr>
        <w:t>Megelőzés</w:t>
      </w:r>
    </w:p>
    <w:p w:rsidR="00E94B90" w:rsidRDefault="00E94B90" w:rsidP="00587A56">
      <w:r>
        <w:t>P102 – Gyermekek elől elzárva tartandó</w:t>
      </w:r>
    </w:p>
    <w:p w:rsidR="00DE5EA3" w:rsidRDefault="00E94B90" w:rsidP="00587A56">
      <w:r>
        <w:t>P305 / P351 /</w:t>
      </w:r>
      <w:r w:rsidR="00DE5EA3">
        <w:t xml:space="preserve"> P338 – </w:t>
      </w:r>
      <w:r>
        <w:t>Szembekerülés esetén</w:t>
      </w:r>
      <w:r w:rsidR="00DE5EA3">
        <w:t xml:space="preserve"> folyamatosan öblítse </w:t>
      </w:r>
      <w:r>
        <w:t xml:space="preserve">vízzel </w:t>
      </w:r>
      <w:r w:rsidR="00DE5EA3">
        <w:t>néhány percig. Vegye ki a kontaktle</w:t>
      </w:r>
      <w:r w:rsidR="00DE5EA3">
        <w:t>n</w:t>
      </w:r>
      <w:r w:rsidR="00DE5EA3">
        <w:t xml:space="preserve">cséjét, ha van. Folyamatosan öblítse. </w:t>
      </w:r>
    </w:p>
    <w:p w:rsidR="00DE5EA3" w:rsidRDefault="00E94B90" w:rsidP="00587A56">
      <w:r>
        <w:t>P337 /</w:t>
      </w:r>
      <w:r w:rsidR="00DE5EA3">
        <w:t xml:space="preserve"> P313 – </w:t>
      </w:r>
      <w:r>
        <w:t>Fennálló szemirritáció esetén</w:t>
      </w:r>
      <w:r w:rsidR="00DE5EA3">
        <w:t xml:space="preserve"> kérjen orvosi segítséget. </w:t>
      </w:r>
    </w:p>
    <w:p w:rsidR="00E94B90" w:rsidRDefault="00E94B90" w:rsidP="00E94B90">
      <w:r>
        <w:t>P301/311 – Lenyelés esetén hívjon fel egy toxikoló</w:t>
      </w:r>
      <w:r w:rsidR="003D6A28">
        <w:t>giai központot vagy egy orvost/</w:t>
      </w:r>
      <w:r>
        <w:t xml:space="preserve"> </w:t>
      </w:r>
      <w:r w:rsidR="003D6A28">
        <w:t>belgyógyászt, és tartsa mag</w:t>
      </w:r>
      <w:r w:rsidR="003D6A28">
        <w:t>á</w:t>
      </w:r>
      <w:r w:rsidR="003D6A28">
        <w:t>nál a tárolót vagy a címkét.</w:t>
      </w:r>
    </w:p>
    <w:p w:rsidR="003D6A28" w:rsidRDefault="00DE5EA3" w:rsidP="00587A56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2.3. Egyéb kockázatok: </w:t>
      </w:r>
    </w:p>
    <w:p w:rsidR="003D6A28" w:rsidRPr="003D6A28" w:rsidRDefault="003D6A28" w:rsidP="00587A56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A termék nincs az éghető vagy robbanásveszélyes anyagok közé sorolva, de éghető.</w:t>
      </w:r>
    </w:p>
    <w:p w:rsidR="00DE5EA3" w:rsidRDefault="00DE5EA3" w:rsidP="00587A56">
      <w:r w:rsidRPr="000E6355">
        <w:rPr>
          <w:rFonts w:ascii="Arial,Bold" w:hAnsi="Arial,Bold" w:cs="Arial,Bold"/>
          <w:bCs/>
        </w:rPr>
        <w:t>Nem</w:t>
      </w:r>
      <w:r>
        <w:rPr>
          <w:rFonts w:ascii="Arial,Bold" w:hAnsi="Arial,Bold" w:cs="Arial,Bold"/>
          <w:b/>
          <w:bCs/>
        </w:rPr>
        <w:t xml:space="preserve"> </w:t>
      </w:r>
      <w:r>
        <w:t xml:space="preserve">PBT </w:t>
      </w:r>
      <w:r w:rsidR="003D6A28">
        <w:t xml:space="preserve">vagy </w:t>
      </w:r>
      <w:proofErr w:type="spellStart"/>
      <w:r w:rsidR="003D6A28">
        <w:t>vPvB</w:t>
      </w:r>
      <w:proofErr w:type="spellEnd"/>
      <w:r w:rsidR="003D6A28">
        <w:t xml:space="preserve"> tartalom vagy keverék az </w:t>
      </w:r>
      <w:proofErr w:type="spellStart"/>
      <w:r w:rsidR="003D6A28">
        <w:t>Annex</w:t>
      </w:r>
      <w:proofErr w:type="spellEnd"/>
      <w:r w:rsidR="003D6A28">
        <w:t xml:space="preserve"> XIII szerint.</w:t>
      </w:r>
    </w:p>
    <w:p w:rsidR="00DE5EA3" w:rsidRDefault="003D6A28" w:rsidP="003D6A28">
      <w:pPr>
        <w:pStyle w:val="szakasz"/>
      </w:pPr>
      <w:r>
        <w:t>3. SZAKASZ: Ö</w:t>
      </w:r>
      <w:r w:rsidR="00DE5EA3">
        <w:t xml:space="preserve">sszetétel vagy az összetevőkre vonatkozó adatok </w:t>
      </w:r>
    </w:p>
    <w:p w:rsidR="00DE5EA3" w:rsidRDefault="00DE5EA3" w:rsidP="00587A56">
      <w:r>
        <w:t>3.2. Keverékek:</w:t>
      </w:r>
    </w:p>
    <w:p w:rsidR="003D6A28" w:rsidRDefault="003D6A28" w:rsidP="003D6A28">
      <w:pPr>
        <w:pStyle w:val="alhzott"/>
      </w:pPr>
      <w:r>
        <w:t>Általános leírás</w:t>
      </w:r>
    </w:p>
    <w:p w:rsidR="003D6A28" w:rsidRPr="003D6A28" w:rsidRDefault="003D6A28" w:rsidP="003D6A28">
      <w:proofErr w:type="spellStart"/>
      <w:r>
        <w:t>Poliglikoléterek</w:t>
      </w:r>
      <w:proofErr w:type="spellEnd"/>
      <w:r>
        <w:t xml:space="preserve">, </w:t>
      </w:r>
      <w:proofErr w:type="spellStart"/>
      <w:r>
        <w:t>glikolétereszterek</w:t>
      </w:r>
      <w:proofErr w:type="spellEnd"/>
      <w:r>
        <w:t xml:space="preserve"> és </w:t>
      </w:r>
      <w:proofErr w:type="spellStart"/>
      <w:r>
        <w:t>poliglikolok</w:t>
      </w:r>
      <w:proofErr w:type="spellEnd"/>
      <w:r>
        <w:t xml:space="preserve"> keveréke, hozzáadott korrózió- és </w:t>
      </w:r>
      <w:proofErr w:type="spellStart"/>
      <w:r>
        <w:t>oxidációgátló</w:t>
      </w:r>
      <w:proofErr w:type="spellEnd"/>
      <w:r>
        <w:t xml:space="preserve"> adalékokkal.</w:t>
      </w:r>
    </w:p>
    <w:tbl>
      <w:tblPr>
        <w:tblStyle w:val="Rcsostblzat"/>
        <w:tblW w:w="0" w:type="auto"/>
        <w:tblLook w:val="04A0"/>
      </w:tblPr>
      <w:tblGrid>
        <w:gridCol w:w="1242"/>
        <w:gridCol w:w="1134"/>
        <w:gridCol w:w="1276"/>
        <w:gridCol w:w="1843"/>
        <w:gridCol w:w="1085"/>
        <w:gridCol w:w="1316"/>
        <w:gridCol w:w="1316"/>
      </w:tblGrid>
      <w:tr w:rsidR="00FF1312" w:rsidRPr="00A21A13" w:rsidTr="00A21A13"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FF1312" w:rsidRPr="00A21A13" w:rsidRDefault="00FF1312" w:rsidP="00A21A13">
            <w:pPr>
              <w:jc w:val="center"/>
              <w:rPr>
                <w:b/>
              </w:rPr>
            </w:pPr>
            <w:r w:rsidRPr="00A21A13">
              <w:rPr>
                <w:b/>
              </w:rPr>
              <w:t>Összetevő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F1312" w:rsidRPr="00A21A13" w:rsidRDefault="00FF1312" w:rsidP="00A21A13">
            <w:pPr>
              <w:jc w:val="center"/>
              <w:rPr>
                <w:b/>
              </w:rPr>
            </w:pPr>
            <w:r w:rsidRPr="00A21A13">
              <w:rPr>
                <w:b/>
              </w:rPr>
              <w:t>EC szám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F1312" w:rsidRPr="00A21A13" w:rsidRDefault="00FF1312" w:rsidP="00A21A13">
            <w:pPr>
              <w:jc w:val="center"/>
              <w:rPr>
                <w:b/>
              </w:rPr>
            </w:pPr>
            <w:r w:rsidRPr="00A21A13">
              <w:rPr>
                <w:b/>
              </w:rPr>
              <w:t>CAS szám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FF1312" w:rsidRPr="00A21A13" w:rsidRDefault="00FF1312" w:rsidP="00A21A13">
            <w:pPr>
              <w:jc w:val="center"/>
              <w:rPr>
                <w:b/>
              </w:rPr>
            </w:pPr>
            <w:r w:rsidRPr="00A21A13">
              <w:rPr>
                <w:b/>
              </w:rPr>
              <w:t>Regisztrációs szám</w:t>
            </w:r>
          </w:p>
        </w:tc>
        <w:tc>
          <w:tcPr>
            <w:tcW w:w="1085" w:type="dxa"/>
            <w:shd w:val="clear" w:color="auto" w:fill="A6A6A6" w:themeFill="background1" w:themeFillShade="A6"/>
            <w:vAlign w:val="center"/>
          </w:tcPr>
          <w:p w:rsidR="00FF1312" w:rsidRPr="00A21A13" w:rsidRDefault="00FF1312" w:rsidP="00A21A13">
            <w:pPr>
              <w:jc w:val="center"/>
              <w:rPr>
                <w:b/>
              </w:rPr>
            </w:pPr>
            <w:r w:rsidRPr="00A21A13">
              <w:rPr>
                <w:b/>
              </w:rPr>
              <w:t>% w/w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FF1312" w:rsidRPr="00A21A13" w:rsidRDefault="00FF1312" w:rsidP="00A21A13">
            <w:pPr>
              <w:jc w:val="center"/>
              <w:rPr>
                <w:b/>
              </w:rPr>
            </w:pPr>
            <w:r w:rsidRPr="00A21A13">
              <w:rPr>
                <w:b/>
              </w:rPr>
              <w:t>Osztályozás</w:t>
            </w:r>
            <w:r w:rsidRPr="00A21A13">
              <w:rPr>
                <w:b/>
              </w:rPr>
              <w:br/>
              <w:t>67/548EEC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FF1312" w:rsidRPr="00A21A13" w:rsidRDefault="00FF1312" w:rsidP="00A21A13">
            <w:pPr>
              <w:jc w:val="center"/>
              <w:rPr>
                <w:b/>
              </w:rPr>
            </w:pPr>
            <w:r w:rsidRPr="00A21A13">
              <w:rPr>
                <w:b/>
              </w:rPr>
              <w:t>Osztályozás</w:t>
            </w:r>
            <w:r w:rsidRPr="00A21A13">
              <w:rPr>
                <w:b/>
              </w:rPr>
              <w:br/>
              <w:t>1272 / 2008</w:t>
            </w:r>
          </w:p>
        </w:tc>
      </w:tr>
      <w:tr w:rsidR="00FF1312" w:rsidTr="00FF1312">
        <w:tc>
          <w:tcPr>
            <w:tcW w:w="1242" w:type="dxa"/>
          </w:tcPr>
          <w:p w:rsidR="00FF1312" w:rsidRDefault="00FF1312" w:rsidP="00587A56">
            <w:proofErr w:type="spellStart"/>
            <w:r>
              <w:t>Butil-triglikol</w:t>
            </w:r>
            <w:proofErr w:type="spellEnd"/>
          </w:p>
        </w:tc>
        <w:tc>
          <w:tcPr>
            <w:tcW w:w="1134" w:type="dxa"/>
          </w:tcPr>
          <w:p w:rsidR="00FF1312" w:rsidRDefault="00FF1312" w:rsidP="00587A56">
            <w:r>
              <w:t>205-592-6</w:t>
            </w:r>
          </w:p>
        </w:tc>
        <w:tc>
          <w:tcPr>
            <w:tcW w:w="1276" w:type="dxa"/>
          </w:tcPr>
          <w:p w:rsidR="00FF1312" w:rsidRDefault="00FF1312" w:rsidP="00587A56">
            <w:r>
              <w:t>143-22-6</w:t>
            </w:r>
          </w:p>
        </w:tc>
        <w:tc>
          <w:tcPr>
            <w:tcW w:w="1843" w:type="dxa"/>
          </w:tcPr>
          <w:p w:rsidR="00FF1312" w:rsidRDefault="00FF1312" w:rsidP="00587A56">
            <w:r>
              <w:t>01-2119531322-53</w:t>
            </w:r>
          </w:p>
        </w:tc>
        <w:tc>
          <w:tcPr>
            <w:tcW w:w="1085" w:type="dxa"/>
          </w:tcPr>
          <w:p w:rsidR="00FF1312" w:rsidRDefault="00FF1312" w:rsidP="00587A56">
            <w:r>
              <w:t>20 – 45</w:t>
            </w:r>
          </w:p>
        </w:tc>
        <w:tc>
          <w:tcPr>
            <w:tcW w:w="1316" w:type="dxa"/>
          </w:tcPr>
          <w:p w:rsidR="00FF1312" w:rsidRDefault="00FF1312" w:rsidP="00587A56">
            <w:proofErr w:type="spellStart"/>
            <w:r>
              <w:t>Xi</w:t>
            </w:r>
            <w:proofErr w:type="spellEnd"/>
            <w:r>
              <w:t>; R41</w:t>
            </w:r>
          </w:p>
        </w:tc>
        <w:tc>
          <w:tcPr>
            <w:tcW w:w="1316" w:type="dxa"/>
          </w:tcPr>
          <w:p w:rsidR="00FF1312" w:rsidRDefault="00FF1312" w:rsidP="00587A56">
            <w:proofErr w:type="gramStart"/>
            <w:r>
              <w:t>Szem kár</w:t>
            </w:r>
            <w:r>
              <w:t>o</w:t>
            </w:r>
            <w:r>
              <w:t>sodás</w:t>
            </w:r>
            <w:proofErr w:type="gramEnd"/>
            <w:r>
              <w:t xml:space="preserve"> – 1. kat.; H318</w:t>
            </w:r>
          </w:p>
        </w:tc>
      </w:tr>
      <w:tr w:rsidR="00FF1312" w:rsidTr="00FF1312">
        <w:tc>
          <w:tcPr>
            <w:tcW w:w="1242" w:type="dxa"/>
          </w:tcPr>
          <w:p w:rsidR="00FF1312" w:rsidRDefault="00FF1312" w:rsidP="00587A56">
            <w:proofErr w:type="spellStart"/>
            <w:r>
              <w:t>Dietilén-glikol</w:t>
            </w:r>
            <w:proofErr w:type="spellEnd"/>
          </w:p>
        </w:tc>
        <w:tc>
          <w:tcPr>
            <w:tcW w:w="1134" w:type="dxa"/>
          </w:tcPr>
          <w:p w:rsidR="00FF1312" w:rsidRDefault="00FF1312" w:rsidP="00587A56">
            <w:r>
              <w:t>203-872-2</w:t>
            </w:r>
          </w:p>
        </w:tc>
        <w:tc>
          <w:tcPr>
            <w:tcW w:w="1276" w:type="dxa"/>
          </w:tcPr>
          <w:p w:rsidR="00FF1312" w:rsidRDefault="00FF1312" w:rsidP="00587A56">
            <w:r>
              <w:t>111-46-6</w:t>
            </w:r>
          </w:p>
        </w:tc>
        <w:tc>
          <w:tcPr>
            <w:tcW w:w="1843" w:type="dxa"/>
          </w:tcPr>
          <w:p w:rsidR="00FF1312" w:rsidRDefault="00FF1312" w:rsidP="00587A56">
            <w:r>
              <w:t>01-2119457857-21</w:t>
            </w:r>
          </w:p>
        </w:tc>
        <w:tc>
          <w:tcPr>
            <w:tcW w:w="1085" w:type="dxa"/>
          </w:tcPr>
          <w:p w:rsidR="00FF1312" w:rsidRDefault="00FF1312" w:rsidP="00587A56">
            <w:r>
              <w:t>10 – 25</w:t>
            </w:r>
          </w:p>
        </w:tc>
        <w:tc>
          <w:tcPr>
            <w:tcW w:w="1316" w:type="dxa"/>
          </w:tcPr>
          <w:p w:rsidR="00FF1312" w:rsidRDefault="00FF1312" w:rsidP="00587A56">
            <w:proofErr w:type="spellStart"/>
            <w:r>
              <w:t>Xn</w:t>
            </w:r>
            <w:proofErr w:type="spellEnd"/>
            <w:r>
              <w:t>; R22</w:t>
            </w:r>
          </w:p>
        </w:tc>
        <w:tc>
          <w:tcPr>
            <w:tcW w:w="1316" w:type="dxa"/>
          </w:tcPr>
          <w:p w:rsidR="00FF1312" w:rsidRDefault="00FF1312" w:rsidP="00587A56">
            <w:r>
              <w:t>Akkut szájon át történő mérgezés, 4. kat. – H302. STOT-RE 2. kat. – H373</w:t>
            </w:r>
          </w:p>
        </w:tc>
      </w:tr>
      <w:tr w:rsidR="00FF1312" w:rsidTr="00FF1312">
        <w:tc>
          <w:tcPr>
            <w:tcW w:w="1242" w:type="dxa"/>
          </w:tcPr>
          <w:p w:rsidR="00FF1312" w:rsidRDefault="00FF1312" w:rsidP="00587A56">
            <w:proofErr w:type="spellStart"/>
            <w:r>
              <w:t>Metil-diglikol</w:t>
            </w:r>
            <w:proofErr w:type="spellEnd"/>
          </w:p>
        </w:tc>
        <w:tc>
          <w:tcPr>
            <w:tcW w:w="1134" w:type="dxa"/>
          </w:tcPr>
          <w:p w:rsidR="00FF1312" w:rsidRDefault="00FF1312" w:rsidP="00587A56">
            <w:r>
              <w:t>203-906-6</w:t>
            </w:r>
          </w:p>
        </w:tc>
        <w:tc>
          <w:tcPr>
            <w:tcW w:w="1276" w:type="dxa"/>
          </w:tcPr>
          <w:p w:rsidR="00FF1312" w:rsidRDefault="00FF1312" w:rsidP="00587A56">
            <w:r>
              <w:t>111-77-3</w:t>
            </w:r>
          </w:p>
        </w:tc>
        <w:tc>
          <w:tcPr>
            <w:tcW w:w="1843" w:type="dxa"/>
          </w:tcPr>
          <w:p w:rsidR="00FF1312" w:rsidRDefault="00FF1312" w:rsidP="00587A56">
            <w:r>
              <w:t>01-2119475100-52</w:t>
            </w:r>
          </w:p>
        </w:tc>
        <w:tc>
          <w:tcPr>
            <w:tcW w:w="1085" w:type="dxa"/>
          </w:tcPr>
          <w:p w:rsidR="00FF1312" w:rsidRDefault="00FF1312" w:rsidP="00587A56">
            <w:r>
              <w:t>0 – 3</w:t>
            </w:r>
          </w:p>
        </w:tc>
        <w:tc>
          <w:tcPr>
            <w:tcW w:w="1316" w:type="dxa"/>
          </w:tcPr>
          <w:p w:rsidR="00FF1312" w:rsidRDefault="00FF1312" w:rsidP="00587A56">
            <w:proofErr w:type="spellStart"/>
            <w:r>
              <w:t>Xn</w:t>
            </w:r>
            <w:proofErr w:type="spellEnd"/>
            <w:r>
              <w:t>; R63</w:t>
            </w:r>
          </w:p>
        </w:tc>
        <w:tc>
          <w:tcPr>
            <w:tcW w:w="1316" w:type="dxa"/>
          </w:tcPr>
          <w:p w:rsidR="00FF1312" w:rsidRDefault="00A21A13" w:rsidP="00587A56">
            <w:r>
              <w:t>Ismétlődő mérgezés – 2. kat.; H361d</w:t>
            </w:r>
          </w:p>
        </w:tc>
      </w:tr>
      <w:tr w:rsidR="00FF1312" w:rsidTr="00FF1312">
        <w:tc>
          <w:tcPr>
            <w:tcW w:w="1242" w:type="dxa"/>
          </w:tcPr>
          <w:p w:rsidR="00FF1312" w:rsidRDefault="00A21A13" w:rsidP="00587A56">
            <w:proofErr w:type="spellStart"/>
            <w:r>
              <w:t>Butil-diglikol</w:t>
            </w:r>
            <w:proofErr w:type="spellEnd"/>
          </w:p>
        </w:tc>
        <w:tc>
          <w:tcPr>
            <w:tcW w:w="1134" w:type="dxa"/>
          </w:tcPr>
          <w:p w:rsidR="00FF1312" w:rsidRDefault="00A21A13" w:rsidP="00587A56">
            <w:r>
              <w:t>203-961-6</w:t>
            </w:r>
          </w:p>
        </w:tc>
        <w:tc>
          <w:tcPr>
            <w:tcW w:w="1276" w:type="dxa"/>
          </w:tcPr>
          <w:p w:rsidR="00FF1312" w:rsidRDefault="00A21A13" w:rsidP="00587A56">
            <w:r>
              <w:t>112-34-5</w:t>
            </w:r>
          </w:p>
        </w:tc>
        <w:tc>
          <w:tcPr>
            <w:tcW w:w="1843" w:type="dxa"/>
          </w:tcPr>
          <w:p w:rsidR="00FF1312" w:rsidRDefault="00A21A13" w:rsidP="00587A56">
            <w:r>
              <w:t>01-2119475104-44</w:t>
            </w:r>
          </w:p>
        </w:tc>
        <w:tc>
          <w:tcPr>
            <w:tcW w:w="1085" w:type="dxa"/>
          </w:tcPr>
          <w:p w:rsidR="00FF1312" w:rsidRDefault="00A21A13" w:rsidP="00587A56">
            <w:r>
              <w:t>0 – 3</w:t>
            </w:r>
          </w:p>
        </w:tc>
        <w:tc>
          <w:tcPr>
            <w:tcW w:w="1316" w:type="dxa"/>
          </w:tcPr>
          <w:p w:rsidR="00FF1312" w:rsidRDefault="00A21A13" w:rsidP="00587A56">
            <w:proofErr w:type="spellStart"/>
            <w:r>
              <w:t>Xi</w:t>
            </w:r>
            <w:proofErr w:type="spellEnd"/>
            <w:r>
              <w:t>; R36</w:t>
            </w:r>
          </w:p>
        </w:tc>
        <w:tc>
          <w:tcPr>
            <w:tcW w:w="1316" w:type="dxa"/>
          </w:tcPr>
          <w:p w:rsidR="00FF1312" w:rsidRDefault="00A21A13" w:rsidP="00587A56">
            <w:r>
              <w:t>Szemirritáció – 2. kat. H319</w:t>
            </w:r>
          </w:p>
        </w:tc>
      </w:tr>
    </w:tbl>
    <w:p w:rsidR="00DE5EA3" w:rsidRDefault="00A21A13" w:rsidP="00587A56">
      <w:r>
        <w:t xml:space="preserve">Nézze meg a 16. szakaszt az </w:t>
      </w:r>
      <w:proofErr w:type="spellStart"/>
      <w:r>
        <w:t>osztáyozási</w:t>
      </w:r>
      <w:proofErr w:type="spellEnd"/>
      <w:r>
        <w:t xml:space="preserve"> kódok magyarázatához.</w:t>
      </w:r>
    </w:p>
    <w:p w:rsidR="00DE5EA3" w:rsidRPr="00BC040A" w:rsidRDefault="00DE5EA3" w:rsidP="00A21A13">
      <w:pPr>
        <w:pStyle w:val="szakasz"/>
        <w:pageBreakBefore/>
      </w:pPr>
      <w:r w:rsidRPr="00BC040A">
        <w:lastRenderedPageBreak/>
        <w:t xml:space="preserve">4. SZAKASZ: </w:t>
      </w:r>
      <w:proofErr w:type="spellStart"/>
      <w:r w:rsidRPr="00BC040A">
        <w:t>Elsősegélynyújtási</w:t>
      </w:r>
      <w:proofErr w:type="spellEnd"/>
      <w:r w:rsidRPr="00BC040A">
        <w:t xml:space="preserve"> intézkedések </w:t>
      </w:r>
    </w:p>
    <w:p w:rsidR="00DE5EA3" w:rsidRDefault="00DE5EA3" w:rsidP="00DE5EA3">
      <w:pPr>
        <w:pStyle w:val="Default"/>
      </w:pPr>
    </w:p>
    <w:p w:rsidR="00DE5EA3" w:rsidRDefault="00DE5EA3" w:rsidP="00DE5EA3">
      <w:pPr>
        <w:pStyle w:val="Default"/>
        <w:rPr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4.1. </w:t>
      </w:r>
      <w:r>
        <w:rPr>
          <w:b/>
          <w:bCs/>
          <w:sz w:val="18"/>
          <w:szCs w:val="18"/>
        </w:rPr>
        <w:t xml:space="preserve">Az elsősegély-nyújtási intézkedések ismertetése </w:t>
      </w:r>
    </w:p>
    <w:p w:rsidR="00A21A13" w:rsidRPr="00831C4F" w:rsidRDefault="00A21A13" w:rsidP="00A21A13">
      <w:r>
        <w:rPr>
          <w:b/>
        </w:rPr>
        <w:t>4.1.1 Általános információ:</w:t>
      </w:r>
      <w:r>
        <w:rPr>
          <w:b/>
        </w:rPr>
        <w:tab/>
      </w:r>
      <w:r w:rsidRPr="00831C4F">
        <w:t xml:space="preserve">Bizonyosodjon meg róla, hogy az egészségügyi szolgálat megismerje az ebben a dokumentumban foglaltakat és megtette a szükséges óvintézkedéseket saját maga védelmében. </w:t>
      </w:r>
      <w:r>
        <w:t>Tová</w:t>
      </w:r>
      <w:r>
        <w:t>b</w:t>
      </w:r>
      <w:r>
        <w:t>bi információk a 8. szakaszban találhatók.</w:t>
      </w:r>
    </w:p>
    <w:p w:rsidR="00DE5EA3" w:rsidRDefault="00A21A13" w:rsidP="00DE5EA3">
      <w:pPr>
        <w:pStyle w:val="Default"/>
        <w:rPr>
          <w:sz w:val="18"/>
          <w:szCs w:val="18"/>
        </w:rPr>
      </w:pPr>
      <w:r>
        <w:rPr>
          <w:b/>
          <w:sz w:val="18"/>
          <w:szCs w:val="18"/>
        </w:rPr>
        <w:t xml:space="preserve">4.1.2 </w:t>
      </w:r>
      <w:r w:rsidRPr="002E7E2C">
        <w:rPr>
          <w:b/>
          <w:sz w:val="18"/>
          <w:szCs w:val="18"/>
        </w:rPr>
        <w:t>Belélegzés:</w:t>
      </w:r>
      <w:r>
        <w:rPr>
          <w:sz w:val="18"/>
          <w:szCs w:val="18"/>
        </w:rPr>
        <w:t xml:space="preserve"> a sérültet vigyük friss levegőre. A sérültet tartsuk nyugalomban. Azonnal forduljon orvoshoz, ha bármilyen további kellemetlenséget tapasztal.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38"/>
      </w:tblGrid>
      <w:tr w:rsidR="00DE5EA3" w:rsidTr="00587A56">
        <w:trPr>
          <w:trHeight w:val="186"/>
        </w:trPr>
        <w:tc>
          <w:tcPr>
            <w:tcW w:w="8938" w:type="dxa"/>
          </w:tcPr>
          <w:p w:rsidR="00DE5EA3" w:rsidRDefault="00A21A13" w:rsidP="00A21A1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4.1.3 </w:t>
            </w:r>
            <w:r w:rsidR="00DE5EA3" w:rsidRPr="002E7E2C">
              <w:rPr>
                <w:b/>
                <w:sz w:val="18"/>
                <w:szCs w:val="18"/>
              </w:rPr>
              <w:t>Érintkezés bőrrel:</w:t>
            </w:r>
            <w:r w:rsidR="00DE5EA3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Vegyük le a szennyezett ruhát. </w:t>
            </w:r>
            <w:r w:rsidR="00DE5EA3">
              <w:rPr>
                <w:sz w:val="18"/>
                <w:szCs w:val="18"/>
              </w:rPr>
              <w:t>A veszélynek kitett bőrfelületet öblögessük szapp</w:t>
            </w:r>
            <w:r w:rsidR="00DE5EA3">
              <w:rPr>
                <w:sz w:val="18"/>
                <w:szCs w:val="18"/>
              </w:rPr>
              <w:t>a</w:t>
            </w:r>
            <w:r w:rsidR="00DE5EA3">
              <w:rPr>
                <w:sz w:val="18"/>
                <w:szCs w:val="18"/>
              </w:rPr>
              <w:t>nos vízzel.</w:t>
            </w:r>
          </w:p>
        </w:tc>
      </w:tr>
      <w:tr w:rsidR="00DE5EA3" w:rsidTr="00587A56">
        <w:trPr>
          <w:trHeight w:val="292"/>
        </w:trPr>
        <w:tc>
          <w:tcPr>
            <w:tcW w:w="8938" w:type="dxa"/>
          </w:tcPr>
          <w:p w:rsidR="00DE5EA3" w:rsidRDefault="00A21A13" w:rsidP="00A21A1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4.1.4 </w:t>
            </w:r>
            <w:r w:rsidR="00DE5EA3" w:rsidRPr="002E7E2C">
              <w:rPr>
                <w:b/>
                <w:sz w:val="18"/>
                <w:szCs w:val="18"/>
              </w:rPr>
              <w:t>Szembe kerülés:</w:t>
            </w:r>
            <w:r w:rsidR="00DE5E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Legalább 10</w:t>
            </w:r>
            <w:r w:rsidR="00DE5EA3">
              <w:rPr>
                <w:sz w:val="18"/>
                <w:szCs w:val="18"/>
              </w:rPr>
              <w:t xml:space="preserve"> percen keresztül öblögessük szemünket bő vízzel. </w:t>
            </w:r>
            <w:r>
              <w:rPr>
                <w:sz w:val="18"/>
                <w:szCs w:val="18"/>
              </w:rPr>
              <w:t>Fennálló irritáció esetén lépjünk kapcsolatba orvossal.</w:t>
            </w:r>
          </w:p>
        </w:tc>
      </w:tr>
      <w:tr w:rsidR="00DE5EA3" w:rsidTr="00587A56">
        <w:trPr>
          <w:trHeight w:val="395"/>
        </w:trPr>
        <w:tc>
          <w:tcPr>
            <w:tcW w:w="8938" w:type="dxa"/>
          </w:tcPr>
          <w:p w:rsidR="00DE5EA3" w:rsidRDefault="00A21A13" w:rsidP="00F24B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4.1.5 </w:t>
            </w:r>
            <w:r w:rsidR="00DE5EA3" w:rsidRPr="002E7E2C">
              <w:rPr>
                <w:b/>
                <w:sz w:val="18"/>
                <w:szCs w:val="18"/>
              </w:rPr>
              <w:t>Lenyelés:</w:t>
            </w:r>
            <w:r w:rsidR="00DE5E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Alkalmazzunk azonnal orvosi segítséget. Ha a sérült teljesen eszméleténél van, akkor a</w:t>
            </w:r>
            <w:r w:rsidR="00DE5EA3">
              <w:rPr>
                <w:sz w:val="18"/>
                <w:szCs w:val="18"/>
              </w:rPr>
              <w:t xml:space="preserve"> szá</w:t>
            </w:r>
            <w:r>
              <w:rPr>
                <w:sz w:val="18"/>
                <w:szCs w:val="18"/>
              </w:rPr>
              <w:t>já</w:t>
            </w:r>
            <w:r w:rsidR="00DE5EA3">
              <w:rPr>
                <w:sz w:val="18"/>
                <w:szCs w:val="18"/>
              </w:rPr>
              <w:t>t nagy mennyiségű vízzel ki kell öblíteni</w:t>
            </w:r>
            <w:r>
              <w:rPr>
                <w:sz w:val="18"/>
                <w:szCs w:val="18"/>
              </w:rPr>
              <w:t>, és sok vizet kell itatni vele.</w:t>
            </w:r>
            <w:r w:rsidR="00DE5EA3">
              <w:rPr>
                <w:sz w:val="18"/>
                <w:szCs w:val="18"/>
              </w:rPr>
              <w:t xml:space="preserve"> </w:t>
            </w:r>
            <w:r w:rsidR="00F24BB1">
              <w:rPr>
                <w:sz w:val="18"/>
                <w:szCs w:val="18"/>
              </w:rPr>
              <w:t>Ha az orvosi segítség lassan érk</w:t>
            </w:r>
            <w:r w:rsidR="00F24BB1">
              <w:rPr>
                <w:sz w:val="18"/>
                <w:szCs w:val="18"/>
              </w:rPr>
              <w:t>e</w:t>
            </w:r>
            <w:r w:rsidR="00F24BB1">
              <w:rPr>
                <w:sz w:val="18"/>
                <w:szCs w:val="18"/>
              </w:rPr>
              <w:t>zik, és a felnőtt nagy mennyiséget nyelt le, akkor adjunk neki 90-120 ml likőrt körülbelül 40%-os alkoholtart</w:t>
            </w:r>
            <w:r w:rsidR="00F24BB1">
              <w:rPr>
                <w:sz w:val="18"/>
                <w:szCs w:val="18"/>
              </w:rPr>
              <w:t>a</w:t>
            </w:r>
            <w:r w:rsidR="00F24BB1">
              <w:rPr>
                <w:sz w:val="18"/>
                <w:szCs w:val="18"/>
              </w:rPr>
              <w:t xml:space="preserve">lommal. Gyermekek számára ez az adag kevesebb, </w:t>
            </w:r>
            <w:proofErr w:type="spellStart"/>
            <w:r w:rsidR="00F24BB1">
              <w:rPr>
                <w:sz w:val="18"/>
                <w:szCs w:val="18"/>
              </w:rPr>
              <w:t>kb</w:t>
            </w:r>
            <w:proofErr w:type="spellEnd"/>
            <w:r w:rsidR="00F24BB1">
              <w:rPr>
                <w:sz w:val="18"/>
                <w:szCs w:val="18"/>
              </w:rPr>
              <w:t xml:space="preserve"> 2ml/testsúly kg. Soha ne adjon szájon át semmit egy eszméletlen személynek. H</w:t>
            </w:r>
            <w:r w:rsidR="00DE5EA3">
              <w:rPr>
                <w:sz w:val="18"/>
                <w:szCs w:val="18"/>
              </w:rPr>
              <w:t xml:space="preserve">ánytatni csak az egészségügyi személyzet utasítása alapján lehet. </w:t>
            </w:r>
          </w:p>
        </w:tc>
      </w:tr>
      <w:tr w:rsidR="00DE5EA3" w:rsidTr="00587A56">
        <w:trPr>
          <w:trHeight w:val="84"/>
        </w:trPr>
        <w:tc>
          <w:tcPr>
            <w:tcW w:w="8938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DE5EA3" w:rsidRDefault="00DE5EA3" w:rsidP="00DE5EA3">
      <w:pPr>
        <w:pStyle w:val="Default"/>
        <w:rPr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4.2. </w:t>
      </w:r>
      <w:r>
        <w:rPr>
          <w:b/>
          <w:bCs/>
          <w:sz w:val="18"/>
          <w:szCs w:val="18"/>
        </w:rPr>
        <w:t xml:space="preserve">A legfontosabb – akut és késleltetett – tünetek és hatások </w:t>
      </w:r>
    </w:p>
    <w:p w:rsidR="00DE5EA3" w:rsidRDefault="00F24BB1" w:rsidP="00587A56">
      <w:r>
        <w:t>A legfontosabb tünetekről és hatásokról bővebben a 2. és 11. szakaszban olvashat.</w:t>
      </w:r>
    </w:p>
    <w:p w:rsidR="00DE5EA3" w:rsidRDefault="00DE5EA3" w:rsidP="00587A56"/>
    <w:p w:rsidR="00DE5EA3" w:rsidRDefault="00DE5EA3" w:rsidP="00DE5EA3">
      <w:pPr>
        <w:pStyle w:val="Default"/>
        <w:rPr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4.3.</w:t>
      </w:r>
      <w:r w:rsidRPr="00831C4F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 szükséges azonnali orvosi ellátás és különleges ellátás jelzése </w:t>
      </w:r>
    </w:p>
    <w:p w:rsidR="00DE5EA3" w:rsidRDefault="001F2079" w:rsidP="00587A56">
      <w:r>
        <w:t>A Mérgezési Információs Osztály orvosi személyzetéhez forduljon elsősegéllyel kapcsolatos információkért, akik tanácsot tudnak adni ilyen helyzetekben. Nincs különleges ellenjavallat vagy kezelési mód túl sokáig tartó érin</w:t>
      </w:r>
      <w:r>
        <w:t>t</w:t>
      </w:r>
      <w:r>
        <w:t xml:space="preserve">kezés esetén, a tüneti kezelés és a sérült klinikai állapota alapján </w:t>
      </w:r>
      <w:r w:rsidR="00591F91">
        <w:t xml:space="preserve">történhet a kezelés. A </w:t>
      </w:r>
      <w:proofErr w:type="spellStart"/>
      <w:r w:rsidR="00591F91">
        <w:t>dietilén-glikolnak</w:t>
      </w:r>
      <w:proofErr w:type="spellEnd"/>
      <w:r w:rsidR="00591F91">
        <w:t xml:space="preserve"> k</w:t>
      </w:r>
      <w:r w:rsidR="00591F91">
        <w:t>ö</w:t>
      </w:r>
      <w:r w:rsidR="00591F91">
        <w:t xml:space="preserve">szönhetően az anyag mérgezési folyamata hasonló lehet az </w:t>
      </w:r>
      <w:proofErr w:type="spellStart"/>
      <w:r w:rsidR="00591F91">
        <w:t>etilén-glikoléhoz</w:t>
      </w:r>
      <w:proofErr w:type="spellEnd"/>
      <w:r w:rsidR="00591F91">
        <w:t xml:space="preserve">, és a kezelése hasonlóképpen </w:t>
      </w:r>
      <w:proofErr w:type="gramStart"/>
      <w:r w:rsidR="00591F91">
        <w:t>m</w:t>
      </w:r>
      <w:r w:rsidR="00591F91">
        <w:t>ű</w:t>
      </w:r>
      <w:r w:rsidR="00591F91">
        <w:t>ködik</w:t>
      </w:r>
      <w:proofErr w:type="gramEnd"/>
      <w:r w:rsidR="00591F91">
        <w:t xml:space="preserve"> mint az </w:t>
      </w:r>
      <w:proofErr w:type="spellStart"/>
      <w:r w:rsidR="00591F91">
        <w:t>etilén-glikollal</w:t>
      </w:r>
      <w:proofErr w:type="spellEnd"/>
      <w:r w:rsidR="00591F91">
        <w:t xml:space="preserve"> való mérgezés esetén.</w:t>
      </w:r>
    </w:p>
    <w:p w:rsidR="00DE5EA3" w:rsidRPr="00BC040A" w:rsidRDefault="00DE5EA3" w:rsidP="00587A56"/>
    <w:p w:rsidR="00DE5EA3" w:rsidRDefault="00DE5EA3" w:rsidP="00591F91">
      <w:pPr>
        <w:pStyle w:val="szakasz"/>
      </w:pPr>
      <w:r w:rsidRPr="00BC040A">
        <w:t>5. SZAKASZ: Tűzvédelmi intézkedése</w:t>
      </w:r>
      <w:r>
        <w:t>k</w:t>
      </w:r>
    </w:p>
    <w:p w:rsidR="00DE5EA3" w:rsidRPr="00BC040A" w:rsidRDefault="00DE5EA3" w:rsidP="00DE5EA3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7796"/>
      </w:tblGrid>
      <w:tr w:rsidR="00DE5EA3" w:rsidTr="00587A56">
        <w:trPr>
          <w:trHeight w:val="84"/>
        </w:trPr>
        <w:tc>
          <w:tcPr>
            <w:tcW w:w="534" w:type="dxa"/>
          </w:tcPr>
          <w:p w:rsidR="00DE5EA3" w:rsidRPr="00B14C7E" w:rsidRDefault="00DE5EA3" w:rsidP="00587A56">
            <w:pPr>
              <w:pStyle w:val="Default"/>
              <w:rPr>
                <w:sz w:val="18"/>
                <w:szCs w:val="18"/>
              </w:rPr>
            </w:pPr>
            <w:r w:rsidRPr="00B14C7E">
              <w:rPr>
                <w:b/>
                <w:bCs/>
                <w:sz w:val="18"/>
                <w:szCs w:val="18"/>
              </w:rPr>
              <w:t xml:space="preserve">5.1 </w:t>
            </w:r>
          </w:p>
        </w:tc>
        <w:tc>
          <w:tcPr>
            <w:tcW w:w="7796" w:type="dxa"/>
          </w:tcPr>
          <w:p w:rsidR="00DE5EA3" w:rsidRPr="00537629" w:rsidRDefault="00DE5EA3" w:rsidP="00587A56">
            <w:pPr>
              <w:pStyle w:val="Default"/>
              <w:rPr>
                <w:b/>
                <w:sz w:val="18"/>
                <w:szCs w:val="18"/>
              </w:rPr>
            </w:pPr>
            <w:r w:rsidRPr="00537629">
              <w:rPr>
                <w:b/>
                <w:sz w:val="18"/>
                <w:szCs w:val="18"/>
              </w:rPr>
              <w:t xml:space="preserve">Oltóanyag </w:t>
            </w:r>
          </w:p>
        </w:tc>
      </w:tr>
      <w:tr w:rsidR="00DE5EA3" w:rsidTr="00587A56">
        <w:trPr>
          <w:trHeight w:val="206"/>
        </w:trPr>
        <w:tc>
          <w:tcPr>
            <w:tcW w:w="8330" w:type="dxa"/>
            <w:gridSpan w:val="2"/>
          </w:tcPr>
          <w:p w:rsidR="00DE5EA3" w:rsidRDefault="00DE5EA3" w:rsidP="00587A56">
            <w:pPr>
              <w:pStyle w:val="Default"/>
              <w:jc w:val="both"/>
              <w:rPr>
                <w:sz w:val="18"/>
                <w:szCs w:val="18"/>
              </w:rPr>
            </w:pPr>
            <w:r w:rsidRPr="004357CF">
              <w:rPr>
                <w:sz w:val="18"/>
                <w:szCs w:val="18"/>
                <w:u w:val="single"/>
              </w:rPr>
              <w:t>Alkalmas tűzoltószerek</w:t>
            </w:r>
            <w:r>
              <w:rPr>
                <w:sz w:val="18"/>
                <w:szCs w:val="18"/>
              </w:rPr>
              <w:t>: száraz port, alkohol-álló hab, permetező vízsugár</w:t>
            </w:r>
            <w:r w:rsidR="004357CF">
              <w:rPr>
                <w:sz w:val="18"/>
                <w:szCs w:val="18"/>
              </w:rPr>
              <w:t xml:space="preserve"> vagy széndioxid</w:t>
            </w:r>
            <w:r>
              <w:rPr>
                <w:sz w:val="18"/>
                <w:szCs w:val="18"/>
              </w:rPr>
              <w:t xml:space="preserve">. </w:t>
            </w:r>
          </w:p>
          <w:p w:rsidR="00DE5EA3" w:rsidRDefault="00DE5EA3" w:rsidP="004357CF">
            <w:pPr>
              <w:pStyle w:val="Default"/>
              <w:jc w:val="both"/>
              <w:rPr>
                <w:sz w:val="18"/>
                <w:szCs w:val="18"/>
              </w:rPr>
            </w:pPr>
            <w:r w:rsidRPr="004357CF">
              <w:rPr>
                <w:sz w:val="18"/>
                <w:szCs w:val="18"/>
                <w:u w:val="single"/>
              </w:rPr>
              <w:t>Nem alkalmas tűzoltószerek</w:t>
            </w:r>
            <w:r>
              <w:rPr>
                <w:sz w:val="18"/>
                <w:szCs w:val="18"/>
              </w:rPr>
              <w:t>: ne alkalmazzunk folytonos vízsugarat</w:t>
            </w:r>
            <w:r w:rsidR="004357CF">
              <w:rPr>
                <w:sz w:val="18"/>
                <w:szCs w:val="18"/>
              </w:rPr>
              <w:t xml:space="preserve"> (habár ezek használhatók a szomszédos tárolók lehűtésére)</w:t>
            </w:r>
          </w:p>
        </w:tc>
      </w:tr>
      <w:tr w:rsidR="00DE5EA3" w:rsidTr="00587A56">
        <w:trPr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5.2 </w:t>
            </w:r>
          </w:p>
        </w:tc>
        <w:tc>
          <w:tcPr>
            <w:tcW w:w="7796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Az anyagból vagy a keverékből származó különleges veszélyek </w:t>
            </w:r>
          </w:p>
        </w:tc>
      </w:tr>
      <w:tr w:rsidR="00DE5EA3" w:rsidTr="00587A56">
        <w:trPr>
          <w:trHeight w:val="187"/>
        </w:trPr>
        <w:tc>
          <w:tcPr>
            <w:tcW w:w="8330" w:type="dxa"/>
            <w:gridSpan w:val="2"/>
          </w:tcPr>
          <w:p w:rsidR="00DE5EA3" w:rsidRDefault="004357CF" w:rsidP="00587A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Nincs különösebb veszély – az égési termékek ártalmas vagy irritáló gázokat tartalmazhatnak. A tároló tűz esetén gázrobbanásra képes.</w:t>
            </w:r>
          </w:p>
        </w:tc>
      </w:tr>
    </w:tbl>
    <w:p w:rsidR="00DE5EA3" w:rsidRDefault="00DE5EA3" w:rsidP="00587A56">
      <w:r>
        <w:t>.</w:t>
      </w:r>
    </w:p>
    <w:p w:rsidR="00DE5EA3" w:rsidRDefault="00DE5EA3" w:rsidP="00DE5EA3">
      <w:pPr>
        <w:pStyle w:val="Default"/>
        <w:rPr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5.3. </w:t>
      </w:r>
      <w:r>
        <w:rPr>
          <w:b/>
          <w:bCs/>
          <w:sz w:val="18"/>
          <w:szCs w:val="18"/>
        </w:rPr>
        <w:t>Tűzoltóknak szóló javasla</w:t>
      </w:r>
      <w:r w:rsidR="00FF7D3A">
        <w:rPr>
          <w:b/>
          <w:bCs/>
          <w:sz w:val="18"/>
          <w:szCs w:val="18"/>
        </w:rPr>
        <w:t>t</w:t>
      </w:r>
      <w:r>
        <w:rPr>
          <w:b/>
          <w:bCs/>
          <w:sz w:val="18"/>
          <w:szCs w:val="18"/>
        </w:rPr>
        <w:t xml:space="preserve"> </w:t>
      </w:r>
    </w:p>
    <w:p w:rsidR="00DE5EA3" w:rsidRDefault="004357CF" w:rsidP="00587A56">
      <w:r>
        <w:t xml:space="preserve">Szemvédelem viselete kötelező. Hűtse le a tárolókat vízspray-vel. Extrém körülmények között </w:t>
      </w:r>
      <w:r w:rsidR="009B0150">
        <w:t>l</w:t>
      </w:r>
      <w:r w:rsidR="00DE5EA3" w:rsidRPr="00D45587">
        <w:t>égzőkészülék és teljes védőöltözet használata szükséges</w:t>
      </w:r>
      <w:r w:rsidR="009B0150">
        <w:t>.</w:t>
      </w:r>
    </w:p>
    <w:p w:rsidR="00DE5EA3" w:rsidRPr="00BC040A" w:rsidRDefault="00DE5EA3" w:rsidP="009B0150">
      <w:pPr>
        <w:pStyle w:val="szakasz"/>
      </w:pPr>
      <w:r w:rsidRPr="00BC040A">
        <w:t xml:space="preserve">6. SZAKASZ: Intézkedések véletlenszerű expozíció </w:t>
      </w:r>
      <w:r w:rsidR="00CF178F">
        <w:t>esetén</w:t>
      </w:r>
    </w:p>
    <w:p w:rsidR="00DE5EA3" w:rsidRDefault="00DE5EA3" w:rsidP="00587A56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8222"/>
      </w:tblGrid>
      <w:tr w:rsidR="00DE5EA3" w:rsidTr="00587A56">
        <w:trPr>
          <w:trHeight w:val="84"/>
        </w:trPr>
        <w:tc>
          <w:tcPr>
            <w:tcW w:w="675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6.1 </w:t>
            </w:r>
          </w:p>
        </w:tc>
        <w:tc>
          <w:tcPr>
            <w:tcW w:w="8222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Személyi óvintézkedések, egyéni védőeszközök és vészhelyzeti eljárások </w:t>
            </w:r>
          </w:p>
        </w:tc>
      </w:tr>
      <w:tr w:rsidR="00DE5EA3" w:rsidTr="00587A56">
        <w:trPr>
          <w:trHeight w:val="497"/>
        </w:trPr>
        <w:tc>
          <w:tcPr>
            <w:tcW w:w="8897" w:type="dxa"/>
            <w:gridSpan w:val="2"/>
          </w:tcPr>
          <w:p w:rsidR="00DE5EA3" w:rsidRDefault="00DE5EA3" w:rsidP="009B015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illetéktelenek tartózkodását a megfelelő ártalmatlanítási intézkedések befejezéséig korlátozni kell. Kerülni kell a bőrrel</w:t>
            </w:r>
            <w:r w:rsidR="009B0150">
              <w:rPr>
                <w:sz w:val="18"/>
                <w:szCs w:val="18"/>
              </w:rPr>
              <w:t>, ruhával</w:t>
            </w:r>
            <w:r>
              <w:rPr>
                <w:sz w:val="18"/>
                <w:szCs w:val="18"/>
              </w:rPr>
              <w:t xml:space="preserve"> való érintkezést és a szembe jutást. </w:t>
            </w:r>
            <w:r w:rsidR="009B0150">
              <w:rPr>
                <w:sz w:val="18"/>
                <w:szCs w:val="18"/>
              </w:rPr>
              <w:t>Nagy mennyiségű kiömlések feltakarításakor me</w:t>
            </w:r>
            <w:r w:rsidR="009B0150">
              <w:rPr>
                <w:sz w:val="18"/>
                <w:szCs w:val="18"/>
              </w:rPr>
              <w:t>g</w:t>
            </w:r>
            <w:r w:rsidR="009B0150">
              <w:rPr>
                <w:sz w:val="18"/>
                <w:szCs w:val="18"/>
              </w:rPr>
              <w:t>felelő védőruházat viselése kötelező, beleértve a szemvédőt és a munkavédelmi kesztyűt – részletekhez lássa a 8. szakaszt.</w:t>
            </w:r>
          </w:p>
        </w:tc>
      </w:tr>
      <w:tr w:rsidR="00DE5EA3" w:rsidTr="00587A56">
        <w:trPr>
          <w:trHeight w:val="84"/>
        </w:trPr>
        <w:tc>
          <w:tcPr>
            <w:tcW w:w="675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6.2 </w:t>
            </w:r>
          </w:p>
        </w:tc>
        <w:tc>
          <w:tcPr>
            <w:tcW w:w="8222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Környezetvédelmi óvintézkedések </w:t>
            </w:r>
          </w:p>
        </w:tc>
      </w:tr>
      <w:tr w:rsidR="00DE5EA3" w:rsidTr="00587A56">
        <w:trPr>
          <w:trHeight w:val="292"/>
        </w:trPr>
        <w:tc>
          <w:tcPr>
            <w:tcW w:w="8897" w:type="dxa"/>
            <w:gridSpan w:val="2"/>
          </w:tcPr>
          <w:p w:rsidR="00DE5EA3" w:rsidRDefault="00DE5EA3" w:rsidP="00DA04A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Védjük a csatorna- </w:t>
            </w:r>
            <w:r w:rsidR="00DA04AB">
              <w:rPr>
                <w:sz w:val="18"/>
                <w:szCs w:val="18"/>
              </w:rPr>
              <w:t>és vízhálózat nyílásait, valamint</w:t>
            </w:r>
            <w:r>
              <w:rPr>
                <w:sz w:val="18"/>
                <w:szCs w:val="18"/>
              </w:rPr>
              <w:t xml:space="preserve"> </w:t>
            </w:r>
            <w:r w:rsidR="00DA04AB">
              <w:rPr>
                <w:sz w:val="18"/>
                <w:szCs w:val="18"/>
              </w:rPr>
              <w:t>a folyókba jutást. Ha mégis bekövetkezik a szennyezés, akkor tájékoztassa a megfelelő hatóságot. Előzze meg a talajszennyeződést.</w:t>
            </w:r>
          </w:p>
        </w:tc>
      </w:tr>
      <w:tr w:rsidR="00DE5EA3" w:rsidTr="00587A56">
        <w:trPr>
          <w:trHeight w:val="84"/>
        </w:trPr>
        <w:tc>
          <w:tcPr>
            <w:tcW w:w="675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6.3 </w:t>
            </w:r>
          </w:p>
        </w:tc>
        <w:tc>
          <w:tcPr>
            <w:tcW w:w="8222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területi elhatárolás és a </w:t>
            </w:r>
            <w:r w:rsidR="00DA04AB">
              <w:rPr>
                <w:b/>
                <w:bCs/>
                <w:sz w:val="18"/>
                <w:szCs w:val="18"/>
              </w:rPr>
              <w:t xml:space="preserve">szennyezés </w:t>
            </w:r>
            <w:proofErr w:type="gramStart"/>
            <w:r w:rsidR="00DA04AB">
              <w:rPr>
                <w:b/>
                <w:bCs/>
                <w:sz w:val="18"/>
                <w:szCs w:val="18"/>
              </w:rPr>
              <w:t>mentesítés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módszerei és anyagai </w:t>
            </w:r>
          </w:p>
        </w:tc>
      </w:tr>
      <w:tr w:rsidR="00DE5EA3" w:rsidTr="00587A56">
        <w:trPr>
          <w:trHeight w:val="497"/>
        </w:trPr>
        <w:tc>
          <w:tcPr>
            <w:tcW w:w="8897" w:type="dxa"/>
            <w:gridSpan w:val="2"/>
          </w:tcPr>
          <w:p w:rsidR="00DE5EA3" w:rsidRDefault="00DA04AB" w:rsidP="00B760D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kiömlött termékeket homokkal, földdel vagy egyéb felszívó anyagokkal fedjük le. Kisebb mértékű kiöml</w:t>
            </w:r>
            <w:r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 xml:space="preserve">sek esetén ronggyal vagy jó nedvszívó képességekkel rendelkező szemcsékkel itassuk fel. </w:t>
            </w:r>
            <w:r w:rsidR="00B760D4">
              <w:rPr>
                <w:sz w:val="18"/>
                <w:szCs w:val="18"/>
              </w:rPr>
              <w:t>Távolítsuk el az összes anyagot egy alkalmas tárolóba a következő kezelésig. H</w:t>
            </w:r>
            <w:r w:rsidR="00DE5EA3">
              <w:rPr>
                <w:sz w:val="18"/>
                <w:szCs w:val="18"/>
              </w:rPr>
              <w:t>elyez</w:t>
            </w:r>
            <w:r w:rsidR="00B760D4">
              <w:rPr>
                <w:sz w:val="18"/>
                <w:szCs w:val="18"/>
              </w:rPr>
              <w:t>zük el</w:t>
            </w:r>
            <w:r w:rsidR="00DE5EA3">
              <w:rPr>
                <w:sz w:val="18"/>
                <w:szCs w:val="18"/>
              </w:rPr>
              <w:t xml:space="preserve"> megfelelő jelöléssel ellátott tart</w:t>
            </w:r>
            <w:r w:rsidR="00DE5EA3">
              <w:rPr>
                <w:sz w:val="18"/>
                <w:szCs w:val="18"/>
              </w:rPr>
              <w:t>á</w:t>
            </w:r>
            <w:r w:rsidR="00DE5EA3">
              <w:rPr>
                <w:sz w:val="18"/>
                <w:szCs w:val="18"/>
              </w:rPr>
              <w:t xml:space="preserve">lyokba. </w:t>
            </w:r>
            <w:r w:rsidR="00B760D4">
              <w:rPr>
                <w:sz w:val="18"/>
                <w:szCs w:val="18"/>
              </w:rPr>
              <w:t xml:space="preserve">A szennyeződött </w:t>
            </w:r>
            <w:r w:rsidR="00DE5EA3">
              <w:rPr>
                <w:sz w:val="18"/>
                <w:szCs w:val="18"/>
              </w:rPr>
              <w:t xml:space="preserve">felületet öblítse át nagy mennyiségű vízzel. </w:t>
            </w:r>
          </w:p>
        </w:tc>
      </w:tr>
      <w:tr w:rsidR="00DE5EA3" w:rsidTr="00587A56">
        <w:trPr>
          <w:trHeight w:val="84"/>
        </w:trPr>
        <w:tc>
          <w:tcPr>
            <w:tcW w:w="675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6.4 </w:t>
            </w:r>
          </w:p>
        </w:tc>
        <w:tc>
          <w:tcPr>
            <w:tcW w:w="8222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Hivatkozás más szakaszokra </w:t>
            </w:r>
          </w:p>
        </w:tc>
      </w:tr>
      <w:tr w:rsidR="00DE5EA3" w:rsidTr="00587A56">
        <w:trPr>
          <w:trHeight w:val="209"/>
        </w:trPr>
        <w:tc>
          <w:tcPr>
            <w:tcW w:w="8897" w:type="dxa"/>
            <w:gridSpan w:val="2"/>
          </w:tcPr>
          <w:p w:rsidR="00DE5EA3" w:rsidRDefault="00DE5EA3" w:rsidP="00587A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Lásd a 13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szakaszt a további hulladék-kezelési információkért. </w:t>
            </w:r>
          </w:p>
          <w:p w:rsidR="00DE5EA3" w:rsidRDefault="00DE5EA3" w:rsidP="00587A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Egyéni védőintézkedések – lásd a 8. szakaszt. </w:t>
            </w:r>
          </w:p>
        </w:tc>
      </w:tr>
    </w:tbl>
    <w:p w:rsidR="00DE5EA3" w:rsidRPr="00BC040A" w:rsidRDefault="00DE5EA3" w:rsidP="00587A56"/>
    <w:tbl>
      <w:tblPr>
        <w:tblW w:w="875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8221"/>
      </w:tblGrid>
      <w:tr w:rsidR="00DE5EA3" w:rsidRPr="00BC040A" w:rsidTr="00587A56">
        <w:trPr>
          <w:trHeight w:val="84"/>
        </w:trPr>
        <w:tc>
          <w:tcPr>
            <w:tcW w:w="8755" w:type="dxa"/>
            <w:gridSpan w:val="2"/>
          </w:tcPr>
          <w:p w:rsidR="00DE5EA3" w:rsidRDefault="00DE5EA3" w:rsidP="000E13C2">
            <w:pPr>
              <w:pStyle w:val="szakasz"/>
            </w:pPr>
            <w:r w:rsidRPr="00BC040A">
              <w:t xml:space="preserve">7. SZAKASZ: Kezelés és tárolás </w:t>
            </w:r>
          </w:p>
          <w:p w:rsidR="00DE5EA3" w:rsidRPr="00BC040A" w:rsidRDefault="00DE5EA3" w:rsidP="000E13C2">
            <w:pPr>
              <w:pStyle w:val="szakasz"/>
            </w:pPr>
          </w:p>
        </w:tc>
      </w:tr>
      <w:tr w:rsidR="00DE5EA3" w:rsidTr="00587A56">
        <w:trPr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7.1 </w:t>
            </w:r>
          </w:p>
        </w:tc>
        <w:tc>
          <w:tcPr>
            <w:tcW w:w="8221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biztonságos kezelésre irányuló óvintézkedések </w:t>
            </w:r>
          </w:p>
        </w:tc>
      </w:tr>
      <w:tr w:rsidR="00DE5EA3" w:rsidTr="00587A56">
        <w:trPr>
          <w:trHeight w:val="601"/>
        </w:trPr>
        <w:tc>
          <w:tcPr>
            <w:tcW w:w="8755" w:type="dxa"/>
            <w:gridSpan w:val="2"/>
          </w:tcPr>
          <w:p w:rsidR="00DE5EA3" w:rsidRDefault="00595A30" w:rsidP="00595A3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Kerülje el az összes olyan kezelési műveletet, amely során gőzök vagy aeroszolos anyagok keletkeznek. </w:t>
            </w:r>
            <w:r w:rsidR="00DE5EA3">
              <w:rPr>
                <w:sz w:val="18"/>
                <w:szCs w:val="18"/>
              </w:rPr>
              <w:t>Munka során ne együnk, ne igyunk, és ne dohányozzunk</w:t>
            </w:r>
            <w:r w:rsidR="009216A8">
              <w:rPr>
                <w:sz w:val="18"/>
                <w:szCs w:val="18"/>
              </w:rPr>
              <w:t>. Használat után alaposan mosson kezet!</w:t>
            </w:r>
          </w:p>
        </w:tc>
      </w:tr>
      <w:tr w:rsidR="00DE5EA3" w:rsidTr="00587A56">
        <w:trPr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7.2 </w:t>
            </w:r>
          </w:p>
        </w:tc>
        <w:tc>
          <w:tcPr>
            <w:tcW w:w="8221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biztonságos tárolás feltételei, az esetleges összeférhetetlenséggel együtt </w:t>
            </w:r>
          </w:p>
        </w:tc>
      </w:tr>
      <w:tr w:rsidR="00DE5EA3" w:rsidTr="00587A56">
        <w:trPr>
          <w:trHeight w:val="292"/>
        </w:trPr>
        <w:tc>
          <w:tcPr>
            <w:tcW w:w="8755" w:type="dxa"/>
            <w:gridSpan w:val="2"/>
          </w:tcPr>
          <w:p w:rsidR="00DE5EA3" w:rsidRDefault="00F8376A" w:rsidP="00094A6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Alkalmas tömegű tárolóedények a mérsékelt/rozsdamentes</w:t>
            </w:r>
            <w:r w:rsidR="00094A66">
              <w:rPr>
                <w:sz w:val="18"/>
                <w:szCs w:val="18"/>
              </w:rPr>
              <w:t xml:space="preserve"> fémtárolók, szárazlevegős szellőzőrendszerrel töltve, vagy szűkfejű fémhengerek. Ne tároljuk barázdált tárolókban/hengerekben. A fékfolyadékok a kö</w:t>
            </w:r>
            <w:r w:rsidR="00094A66">
              <w:rPr>
                <w:sz w:val="18"/>
                <w:szCs w:val="18"/>
              </w:rPr>
              <w:t>r</w:t>
            </w:r>
            <w:r w:rsidR="00094A66">
              <w:rPr>
                <w:sz w:val="18"/>
                <w:szCs w:val="18"/>
              </w:rPr>
              <w:t>nyezetükből elvonják a vizet – mindig szorosan lezárva tárolja! Kerülje el az érintkezést más anyagokkal, különösképpen az ásványi olajokkal, amik inkompatibilisek.</w:t>
            </w:r>
          </w:p>
        </w:tc>
      </w:tr>
      <w:tr w:rsidR="00DE5EA3" w:rsidTr="00587A56">
        <w:trPr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7.3 </w:t>
            </w:r>
          </w:p>
        </w:tc>
        <w:tc>
          <w:tcPr>
            <w:tcW w:w="8221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Meghatározott végfelhasználás (végfelhasználások </w:t>
            </w:r>
          </w:p>
        </w:tc>
      </w:tr>
    </w:tbl>
    <w:p w:rsidR="00DE5EA3" w:rsidRDefault="00094A66" w:rsidP="00587A56">
      <w:r>
        <w:t xml:space="preserve">A felhasználók a </w:t>
      </w:r>
      <w:proofErr w:type="spellStart"/>
      <w:r>
        <w:t>Specification</w:t>
      </w:r>
      <w:proofErr w:type="spellEnd"/>
      <w:r>
        <w:t xml:space="preserve"> SAE J1707 „Fékfolyadékok ápolási szervize” nevű specifikációra hivatkozhatnak.</w:t>
      </w:r>
    </w:p>
    <w:p w:rsidR="00DE5EA3" w:rsidRDefault="00DE5EA3" w:rsidP="00587A56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5670"/>
        <w:gridCol w:w="2693"/>
      </w:tblGrid>
      <w:tr w:rsidR="00DE5EA3" w:rsidTr="00094A66">
        <w:trPr>
          <w:trHeight w:val="84"/>
        </w:trPr>
        <w:tc>
          <w:tcPr>
            <w:tcW w:w="8897" w:type="dxa"/>
            <w:gridSpan w:val="3"/>
          </w:tcPr>
          <w:p w:rsidR="00DE5EA3" w:rsidRDefault="00DE5EA3" w:rsidP="00094A66">
            <w:pPr>
              <w:pStyle w:val="szakasz"/>
            </w:pPr>
            <w:r w:rsidRPr="00556996">
              <w:t xml:space="preserve">8. SZAKASZ: Az expozíció ellenőrzése/egyéni védelem </w:t>
            </w:r>
          </w:p>
          <w:p w:rsidR="00DE5EA3" w:rsidRPr="00556996" w:rsidRDefault="00DE5EA3" w:rsidP="00094A66">
            <w:pPr>
              <w:pStyle w:val="szakasz"/>
            </w:pPr>
          </w:p>
        </w:tc>
      </w:tr>
      <w:tr w:rsidR="00DE5EA3" w:rsidTr="00587A56">
        <w:trPr>
          <w:gridAfter w:val="1"/>
          <w:wAfter w:w="2693" w:type="dxa"/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8.1 </w:t>
            </w:r>
          </w:p>
        </w:tc>
        <w:tc>
          <w:tcPr>
            <w:tcW w:w="5670" w:type="dxa"/>
          </w:tcPr>
          <w:p w:rsidR="00094A66" w:rsidRDefault="00DE5EA3" w:rsidP="00094A6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Ellenőrzési paraméterek </w:t>
            </w:r>
          </w:p>
          <w:p w:rsidR="00094A66" w:rsidRPr="00094A66" w:rsidRDefault="00094A66" w:rsidP="00094A66">
            <w:pPr>
              <w:pStyle w:val="Default"/>
              <w:ind w:left="-534"/>
              <w:rPr>
                <w:b/>
                <w:bCs/>
                <w:sz w:val="18"/>
                <w:szCs w:val="18"/>
              </w:rPr>
            </w:pPr>
          </w:p>
        </w:tc>
      </w:tr>
    </w:tbl>
    <w:p w:rsidR="00094A66" w:rsidRPr="00094A66" w:rsidRDefault="00094A66" w:rsidP="00D777C8">
      <w:pPr>
        <w:pStyle w:val="alhzott"/>
      </w:pPr>
      <w:r w:rsidRPr="00094A66">
        <w:t xml:space="preserve">8.1.1 </w:t>
      </w:r>
      <w:r w:rsidR="00D777C8">
        <w:t xml:space="preserve">Munkahelyi expozíciós határértékek </w:t>
      </w:r>
    </w:p>
    <w:p w:rsidR="00094A66" w:rsidRDefault="00094A66" w:rsidP="00587A56">
      <w:r w:rsidRPr="00094A66">
        <w:rPr>
          <w:b/>
        </w:rPr>
        <w:t>Keverék</w:t>
      </w:r>
      <w:r>
        <w:t>: Nincsenek hivatalos adatok. Az alacsony gáznyomásnak köszönhetően, a gáz normál hőmérsékleten nem jelent problémát.</w:t>
      </w:r>
    </w:p>
    <w:p w:rsidR="00942A15" w:rsidRDefault="00942A15" w:rsidP="00587A56">
      <w:r>
        <w:t>Önálló összetevők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42A15" w:rsidTr="00942A15">
        <w:tc>
          <w:tcPr>
            <w:tcW w:w="2303" w:type="dxa"/>
          </w:tcPr>
          <w:p w:rsidR="00942A15" w:rsidRDefault="00942A15" w:rsidP="00587A56"/>
        </w:tc>
        <w:tc>
          <w:tcPr>
            <w:tcW w:w="2303" w:type="dxa"/>
          </w:tcPr>
          <w:p w:rsidR="00942A15" w:rsidRDefault="00942A15" w:rsidP="00587A56">
            <w:r>
              <w:t>Ország</w:t>
            </w:r>
          </w:p>
        </w:tc>
        <w:tc>
          <w:tcPr>
            <w:tcW w:w="2303" w:type="dxa"/>
          </w:tcPr>
          <w:p w:rsidR="00942A15" w:rsidRDefault="00942A15" w:rsidP="00587A56">
            <w:r>
              <w:t>8 óra</w:t>
            </w:r>
          </w:p>
        </w:tc>
        <w:tc>
          <w:tcPr>
            <w:tcW w:w="2303" w:type="dxa"/>
          </w:tcPr>
          <w:p w:rsidR="00942A15" w:rsidRDefault="00942A15" w:rsidP="00587A56">
            <w:r>
              <w:t>15 perc</w:t>
            </w:r>
          </w:p>
        </w:tc>
      </w:tr>
      <w:tr w:rsidR="00942A15" w:rsidTr="00942A15">
        <w:tc>
          <w:tcPr>
            <w:tcW w:w="2303" w:type="dxa"/>
            <w:vMerge w:val="restart"/>
          </w:tcPr>
          <w:p w:rsidR="00942A15" w:rsidRDefault="00942A15" w:rsidP="00587A56">
            <w:proofErr w:type="spellStart"/>
            <w:r>
              <w:t>Dietilén-glikol</w:t>
            </w:r>
            <w:proofErr w:type="spellEnd"/>
          </w:p>
        </w:tc>
        <w:tc>
          <w:tcPr>
            <w:tcW w:w="2303" w:type="dxa"/>
          </w:tcPr>
          <w:p w:rsidR="00942A15" w:rsidRDefault="00942A15" w:rsidP="00587A56">
            <w:r>
              <w:t>Ausztrália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23 </w:t>
            </w:r>
            <w:proofErr w:type="spellStart"/>
            <w:r>
              <w:t>ppm</w:t>
            </w:r>
            <w:proofErr w:type="spellEnd"/>
            <w:r>
              <w:t>/101 mg/m3</w:t>
            </w:r>
          </w:p>
        </w:tc>
        <w:tc>
          <w:tcPr>
            <w:tcW w:w="2303" w:type="dxa"/>
          </w:tcPr>
          <w:p w:rsidR="00942A15" w:rsidRDefault="00942A15" w:rsidP="00587A56"/>
        </w:tc>
      </w:tr>
      <w:tr w:rsidR="00942A15" w:rsidTr="00942A15">
        <w:tc>
          <w:tcPr>
            <w:tcW w:w="2303" w:type="dxa"/>
            <w:vMerge/>
          </w:tcPr>
          <w:p w:rsidR="00942A15" w:rsidRDefault="00942A15" w:rsidP="00587A56"/>
        </w:tc>
        <w:tc>
          <w:tcPr>
            <w:tcW w:w="2303" w:type="dxa"/>
          </w:tcPr>
          <w:p w:rsidR="00942A15" w:rsidRDefault="00942A15" w:rsidP="00587A56">
            <w:r>
              <w:t>Ausztria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/44 mg/m3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40 </w:t>
            </w:r>
            <w:proofErr w:type="spellStart"/>
            <w:r>
              <w:t>ppm</w:t>
            </w:r>
            <w:proofErr w:type="spellEnd"/>
            <w:r>
              <w:t>/176 mg/m3</w:t>
            </w:r>
          </w:p>
        </w:tc>
      </w:tr>
      <w:tr w:rsidR="00942A15" w:rsidTr="00942A15">
        <w:tc>
          <w:tcPr>
            <w:tcW w:w="2303" w:type="dxa"/>
            <w:vMerge/>
          </w:tcPr>
          <w:p w:rsidR="00942A15" w:rsidRDefault="00942A15" w:rsidP="00587A56"/>
        </w:tc>
        <w:tc>
          <w:tcPr>
            <w:tcW w:w="2303" w:type="dxa"/>
          </w:tcPr>
          <w:p w:rsidR="00942A15" w:rsidRDefault="00942A15" w:rsidP="00587A56">
            <w:r>
              <w:t>Dánia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2,5 </w:t>
            </w:r>
            <w:proofErr w:type="spellStart"/>
            <w:r>
              <w:t>ppm</w:t>
            </w:r>
            <w:proofErr w:type="spellEnd"/>
            <w:r>
              <w:t>/11 mg/m3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5 </w:t>
            </w:r>
            <w:proofErr w:type="spellStart"/>
            <w:r>
              <w:t>ppm</w:t>
            </w:r>
            <w:proofErr w:type="spellEnd"/>
            <w:r>
              <w:t>/22 mg/m3</w:t>
            </w:r>
          </w:p>
        </w:tc>
      </w:tr>
      <w:tr w:rsidR="00942A15" w:rsidTr="00942A15">
        <w:tc>
          <w:tcPr>
            <w:tcW w:w="2303" w:type="dxa"/>
            <w:vMerge/>
          </w:tcPr>
          <w:p w:rsidR="00942A15" w:rsidRDefault="00942A15" w:rsidP="00587A56"/>
        </w:tc>
        <w:tc>
          <w:tcPr>
            <w:tcW w:w="2303" w:type="dxa"/>
          </w:tcPr>
          <w:p w:rsidR="00942A15" w:rsidRDefault="00942A15" w:rsidP="00587A56">
            <w:r>
              <w:t>Németország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/44mg/m3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40 </w:t>
            </w:r>
            <w:proofErr w:type="spellStart"/>
            <w:r>
              <w:t>ppm</w:t>
            </w:r>
            <w:proofErr w:type="spellEnd"/>
            <w:r>
              <w:t>/176 mg/m3</w:t>
            </w:r>
          </w:p>
        </w:tc>
      </w:tr>
      <w:tr w:rsidR="00942A15" w:rsidTr="00942A15">
        <w:tc>
          <w:tcPr>
            <w:tcW w:w="2303" w:type="dxa"/>
            <w:vMerge/>
          </w:tcPr>
          <w:p w:rsidR="00942A15" w:rsidRDefault="00942A15" w:rsidP="00587A56"/>
        </w:tc>
        <w:tc>
          <w:tcPr>
            <w:tcW w:w="2303" w:type="dxa"/>
          </w:tcPr>
          <w:p w:rsidR="00942A15" w:rsidRDefault="00942A15" w:rsidP="00587A56">
            <w:r>
              <w:t>Litvánia</w:t>
            </w:r>
          </w:p>
        </w:tc>
        <w:tc>
          <w:tcPr>
            <w:tcW w:w="2303" w:type="dxa"/>
          </w:tcPr>
          <w:p w:rsidR="00942A15" w:rsidRDefault="00942A15" w:rsidP="00587A56">
            <w:r>
              <w:t>10 mg/m3</w:t>
            </w:r>
          </w:p>
        </w:tc>
        <w:tc>
          <w:tcPr>
            <w:tcW w:w="2303" w:type="dxa"/>
          </w:tcPr>
          <w:p w:rsidR="00942A15" w:rsidRDefault="00942A15" w:rsidP="00587A56"/>
        </w:tc>
      </w:tr>
      <w:tr w:rsidR="00942A15" w:rsidTr="00942A15">
        <w:tc>
          <w:tcPr>
            <w:tcW w:w="2303" w:type="dxa"/>
            <w:vMerge/>
          </w:tcPr>
          <w:p w:rsidR="00942A15" w:rsidRDefault="00942A15" w:rsidP="00587A56"/>
        </w:tc>
        <w:tc>
          <w:tcPr>
            <w:tcW w:w="2303" w:type="dxa"/>
          </w:tcPr>
          <w:p w:rsidR="00942A15" w:rsidRDefault="00942A15" w:rsidP="00587A56">
            <w:r>
              <w:t>Új-Zéland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23 </w:t>
            </w:r>
            <w:proofErr w:type="spellStart"/>
            <w:r>
              <w:t>ppm</w:t>
            </w:r>
            <w:proofErr w:type="spellEnd"/>
            <w:r>
              <w:t>/101 mg/m3</w:t>
            </w:r>
          </w:p>
        </w:tc>
        <w:tc>
          <w:tcPr>
            <w:tcW w:w="2303" w:type="dxa"/>
          </w:tcPr>
          <w:p w:rsidR="00942A15" w:rsidRDefault="00942A15" w:rsidP="00587A56"/>
        </w:tc>
      </w:tr>
      <w:tr w:rsidR="00942A15" w:rsidTr="00942A15">
        <w:tc>
          <w:tcPr>
            <w:tcW w:w="2303" w:type="dxa"/>
            <w:vMerge/>
          </w:tcPr>
          <w:p w:rsidR="00942A15" w:rsidRDefault="00942A15" w:rsidP="00587A56"/>
        </w:tc>
        <w:tc>
          <w:tcPr>
            <w:tcW w:w="2303" w:type="dxa"/>
          </w:tcPr>
          <w:p w:rsidR="00942A15" w:rsidRDefault="00942A15" w:rsidP="00587A56">
            <w:r>
              <w:t>Svédország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/45 mg/m3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20 </w:t>
            </w:r>
            <w:proofErr w:type="spellStart"/>
            <w:r>
              <w:t>ppm</w:t>
            </w:r>
            <w:proofErr w:type="spellEnd"/>
            <w:r>
              <w:t>/ 90 mg/m3</w:t>
            </w:r>
          </w:p>
        </w:tc>
      </w:tr>
      <w:tr w:rsidR="00942A15" w:rsidTr="00942A15">
        <w:tc>
          <w:tcPr>
            <w:tcW w:w="2303" w:type="dxa"/>
            <w:vMerge/>
          </w:tcPr>
          <w:p w:rsidR="00942A15" w:rsidRDefault="00942A15" w:rsidP="00587A56"/>
        </w:tc>
        <w:tc>
          <w:tcPr>
            <w:tcW w:w="2303" w:type="dxa"/>
          </w:tcPr>
          <w:p w:rsidR="00942A15" w:rsidRDefault="00942A15" w:rsidP="00587A56">
            <w:r>
              <w:t>Svájc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 xml:space="preserve"> / 44mg/m3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40 </w:t>
            </w:r>
            <w:proofErr w:type="spellStart"/>
            <w:r>
              <w:t>ppm</w:t>
            </w:r>
            <w:proofErr w:type="spellEnd"/>
            <w:r>
              <w:t xml:space="preserve"> / 176 mg/m3</w:t>
            </w:r>
          </w:p>
        </w:tc>
      </w:tr>
      <w:tr w:rsidR="00942A15" w:rsidTr="00942A15">
        <w:tc>
          <w:tcPr>
            <w:tcW w:w="2303" w:type="dxa"/>
            <w:vMerge/>
          </w:tcPr>
          <w:p w:rsidR="00942A15" w:rsidRDefault="00942A15" w:rsidP="00587A56"/>
        </w:tc>
        <w:tc>
          <w:tcPr>
            <w:tcW w:w="2303" w:type="dxa"/>
          </w:tcPr>
          <w:p w:rsidR="00942A15" w:rsidRDefault="00942A15" w:rsidP="00587A56">
            <w:r>
              <w:t>Egyesült Királyság</w:t>
            </w:r>
          </w:p>
        </w:tc>
        <w:tc>
          <w:tcPr>
            <w:tcW w:w="2303" w:type="dxa"/>
          </w:tcPr>
          <w:p w:rsidR="00942A15" w:rsidRDefault="00942A15" w:rsidP="00587A56">
            <w:r>
              <w:t xml:space="preserve">23 </w:t>
            </w:r>
            <w:proofErr w:type="spellStart"/>
            <w:r>
              <w:t>ppm</w:t>
            </w:r>
            <w:proofErr w:type="spellEnd"/>
            <w:r>
              <w:t>/ 101 mg/m3</w:t>
            </w:r>
          </w:p>
        </w:tc>
        <w:tc>
          <w:tcPr>
            <w:tcW w:w="2303" w:type="dxa"/>
          </w:tcPr>
          <w:p w:rsidR="00942A15" w:rsidRDefault="00942A15" w:rsidP="00587A56"/>
        </w:tc>
      </w:tr>
      <w:tr w:rsidR="004F37C4" w:rsidTr="00942A15">
        <w:tc>
          <w:tcPr>
            <w:tcW w:w="2303" w:type="dxa"/>
            <w:vMerge w:val="restart"/>
          </w:tcPr>
          <w:p w:rsidR="004F37C4" w:rsidRDefault="004F37C4" w:rsidP="00587A56">
            <w:proofErr w:type="spellStart"/>
            <w:r>
              <w:t>Butil-diglikol</w:t>
            </w:r>
            <w:proofErr w:type="spellEnd"/>
          </w:p>
        </w:tc>
        <w:tc>
          <w:tcPr>
            <w:tcW w:w="2303" w:type="dxa"/>
          </w:tcPr>
          <w:p w:rsidR="004F37C4" w:rsidRDefault="004F37C4" w:rsidP="00587A56">
            <w:r>
              <w:t>Ausztria</w:t>
            </w:r>
          </w:p>
        </w:tc>
        <w:tc>
          <w:tcPr>
            <w:tcW w:w="2303" w:type="dxa"/>
          </w:tcPr>
          <w:p w:rsidR="004F37C4" w:rsidRDefault="004F37C4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/67,5 mg/m3</w:t>
            </w:r>
          </w:p>
        </w:tc>
        <w:tc>
          <w:tcPr>
            <w:tcW w:w="2303" w:type="dxa"/>
          </w:tcPr>
          <w:p w:rsidR="004F37C4" w:rsidRDefault="004F37C4" w:rsidP="00587A56">
            <w:r>
              <w:t xml:space="preserve">15 </w:t>
            </w:r>
            <w:proofErr w:type="spellStart"/>
            <w:r>
              <w:t>ppm</w:t>
            </w:r>
            <w:proofErr w:type="spellEnd"/>
            <w:r>
              <w:t>/101,2 mg/m3</w:t>
            </w:r>
          </w:p>
        </w:tc>
      </w:tr>
      <w:tr w:rsidR="004F37C4" w:rsidTr="00942A15">
        <w:tc>
          <w:tcPr>
            <w:tcW w:w="2303" w:type="dxa"/>
            <w:vMerge/>
          </w:tcPr>
          <w:p w:rsidR="004F37C4" w:rsidRDefault="004F37C4" w:rsidP="00587A56"/>
        </w:tc>
        <w:tc>
          <w:tcPr>
            <w:tcW w:w="2303" w:type="dxa"/>
          </w:tcPr>
          <w:p w:rsidR="004F37C4" w:rsidRDefault="004F37C4" w:rsidP="00587A56">
            <w:r>
              <w:t>Belgium</w:t>
            </w:r>
          </w:p>
        </w:tc>
        <w:tc>
          <w:tcPr>
            <w:tcW w:w="2303" w:type="dxa"/>
          </w:tcPr>
          <w:p w:rsidR="004F37C4" w:rsidRDefault="004F37C4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/67,5 mg/m3</w:t>
            </w:r>
          </w:p>
        </w:tc>
        <w:tc>
          <w:tcPr>
            <w:tcW w:w="2303" w:type="dxa"/>
          </w:tcPr>
          <w:p w:rsidR="004F37C4" w:rsidRDefault="004F37C4" w:rsidP="00587A56">
            <w:r>
              <w:t xml:space="preserve">15 </w:t>
            </w:r>
            <w:proofErr w:type="spellStart"/>
            <w:r>
              <w:t>ppm</w:t>
            </w:r>
            <w:proofErr w:type="spellEnd"/>
            <w:r>
              <w:t>/101,2 mg/m3</w:t>
            </w:r>
          </w:p>
        </w:tc>
      </w:tr>
      <w:tr w:rsidR="004F37C4" w:rsidTr="00942A15">
        <w:tc>
          <w:tcPr>
            <w:tcW w:w="2303" w:type="dxa"/>
            <w:vMerge/>
          </w:tcPr>
          <w:p w:rsidR="004F37C4" w:rsidRDefault="004F37C4" w:rsidP="00587A56"/>
        </w:tc>
        <w:tc>
          <w:tcPr>
            <w:tcW w:w="2303" w:type="dxa"/>
          </w:tcPr>
          <w:p w:rsidR="004F37C4" w:rsidRDefault="004F37C4" w:rsidP="00587A56">
            <w:r>
              <w:t>Dánia</w:t>
            </w:r>
          </w:p>
        </w:tc>
        <w:tc>
          <w:tcPr>
            <w:tcW w:w="2303" w:type="dxa"/>
          </w:tcPr>
          <w:p w:rsidR="004F37C4" w:rsidRDefault="004F37C4" w:rsidP="00587A56">
            <w:r>
              <w:t>100 mg/m3</w:t>
            </w:r>
          </w:p>
        </w:tc>
        <w:tc>
          <w:tcPr>
            <w:tcW w:w="2303" w:type="dxa"/>
          </w:tcPr>
          <w:p w:rsidR="004F37C4" w:rsidRDefault="004F37C4" w:rsidP="00587A56">
            <w:r>
              <w:t>200 mg/m3</w:t>
            </w:r>
          </w:p>
        </w:tc>
      </w:tr>
      <w:tr w:rsidR="004F37C4" w:rsidTr="00942A15">
        <w:tc>
          <w:tcPr>
            <w:tcW w:w="2303" w:type="dxa"/>
            <w:vMerge/>
          </w:tcPr>
          <w:p w:rsidR="004F37C4" w:rsidRDefault="004F37C4" w:rsidP="00587A56"/>
        </w:tc>
        <w:tc>
          <w:tcPr>
            <w:tcW w:w="2303" w:type="dxa"/>
          </w:tcPr>
          <w:p w:rsidR="004F37C4" w:rsidRDefault="004F37C4" w:rsidP="00587A56">
            <w:r>
              <w:t>EU</w:t>
            </w:r>
          </w:p>
        </w:tc>
        <w:tc>
          <w:tcPr>
            <w:tcW w:w="2303" w:type="dxa"/>
          </w:tcPr>
          <w:p w:rsidR="004F37C4" w:rsidRDefault="004F37C4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/67,5 mg/m3</w:t>
            </w:r>
          </w:p>
        </w:tc>
        <w:tc>
          <w:tcPr>
            <w:tcW w:w="2303" w:type="dxa"/>
          </w:tcPr>
          <w:p w:rsidR="004F37C4" w:rsidRDefault="004F37C4" w:rsidP="00587A56">
            <w:r>
              <w:t xml:space="preserve">15 </w:t>
            </w:r>
            <w:proofErr w:type="spellStart"/>
            <w:r>
              <w:t>ppm</w:t>
            </w:r>
            <w:proofErr w:type="spellEnd"/>
            <w:r>
              <w:t>/101,2 mg/m3</w:t>
            </w:r>
          </w:p>
        </w:tc>
      </w:tr>
      <w:tr w:rsidR="004F37C4" w:rsidTr="00BC1066">
        <w:tc>
          <w:tcPr>
            <w:tcW w:w="2303" w:type="dxa"/>
            <w:vMerge/>
          </w:tcPr>
          <w:p w:rsidR="004F37C4" w:rsidRDefault="004F37C4" w:rsidP="00BC1066"/>
        </w:tc>
        <w:tc>
          <w:tcPr>
            <w:tcW w:w="2303" w:type="dxa"/>
          </w:tcPr>
          <w:p w:rsidR="004F37C4" w:rsidRDefault="004F37C4" w:rsidP="00BC1066">
            <w:r>
              <w:t>Franciaország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/67,5 mg/m3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15 </w:t>
            </w:r>
            <w:proofErr w:type="spellStart"/>
            <w:r>
              <w:t>ppm</w:t>
            </w:r>
            <w:proofErr w:type="spellEnd"/>
            <w:r>
              <w:t>/101,2 mg/m3</w:t>
            </w:r>
          </w:p>
        </w:tc>
      </w:tr>
      <w:tr w:rsidR="004F37C4" w:rsidTr="00BC1066">
        <w:tc>
          <w:tcPr>
            <w:tcW w:w="2303" w:type="dxa"/>
            <w:vMerge/>
          </w:tcPr>
          <w:p w:rsidR="004F37C4" w:rsidRDefault="004F37C4" w:rsidP="00BC1066"/>
        </w:tc>
        <w:tc>
          <w:tcPr>
            <w:tcW w:w="2303" w:type="dxa"/>
          </w:tcPr>
          <w:p w:rsidR="004F37C4" w:rsidRDefault="004F37C4" w:rsidP="00BC1066">
            <w:r>
              <w:t>Németország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/67,5 mg/m3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15 </w:t>
            </w:r>
            <w:proofErr w:type="spellStart"/>
            <w:r>
              <w:t>ppm</w:t>
            </w:r>
            <w:proofErr w:type="spellEnd"/>
            <w:r>
              <w:t>/101,2 mg/m3</w:t>
            </w:r>
          </w:p>
        </w:tc>
      </w:tr>
      <w:tr w:rsidR="004F37C4" w:rsidTr="00BC1066">
        <w:tc>
          <w:tcPr>
            <w:tcW w:w="2303" w:type="dxa"/>
            <w:vMerge/>
          </w:tcPr>
          <w:p w:rsidR="004F37C4" w:rsidRDefault="004F37C4" w:rsidP="00BC1066"/>
        </w:tc>
        <w:tc>
          <w:tcPr>
            <w:tcW w:w="2303" w:type="dxa"/>
          </w:tcPr>
          <w:p w:rsidR="004F37C4" w:rsidRDefault="004F37C4" w:rsidP="00BC1066">
            <w:r>
              <w:t>Magyarország</w:t>
            </w:r>
          </w:p>
        </w:tc>
        <w:tc>
          <w:tcPr>
            <w:tcW w:w="2303" w:type="dxa"/>
          </w:tcPr>
          <w:p w:rsidR="004F37C4" w:rsidRDefault="004F37C4" w:rsidP="00BC1066">
            <w:r>
              <w:t>67,5 mg/m3</w:t>
            </w:r>
          </w:p>
        </w:tc>
        <w:tc>
          <w:tcPr>
            <w:tcW w:w="2303" w:type="dxa"/>
          </w:tcPr>
          <w:p w:rsidR="004F37C4" w:rsidRDefault="004F37C4" w:rsidP="00BC1066">
            <w:r>
              <w:t>101,2 mg/m3</w:t>
            </w:r>
          </w:p>
        </w:tc>
      </w:tr>
      <w:tr w:rsidR="004F37C4" w:rsidTr="00BC1066">
        <w:tc>
          <w:tcPr>
            <w:tcW w:w="2303" w:type="dxa"/>
            <w:vMerge/>
          </w:tcPr>
          <w:p w:rsidR="004F37C4" w:rsidRDefault="004F37C4" w:rsidP="00BC1066"/>
        </w:tc>
        <w:tc>
          <w:tcPr>
            <w:tcW w:w="2303" w:type="dxa"/>
          </w:tcPr>
          <w:p w:rsidR="004F37C4" w:rsidRDefault="004F37C4" w:rsidP="00BC1066">
            <w:r>
              <w:t>Olaszország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/67,5 mg/m3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15 </w:t>
            </w:r>
            <w:proofErr w:type="spellStart"/>
            <w:r>
              <w:t>ppm</w:t>
            </w:r>
            <w:proofErr w:type="spellEnd"/>
            <w:r>
              <w:t>/101,2 mg/m3</w:t>
            </w:r>
          </w:p>
        </w:tc>
      </w:tr>
      <w:tr w:rsidR="004F37C4" w:rsidTr="00BC1066">
        <w:tc>
          <w:tcPr>
            <w:tcW w:w="2303" w:type="dxa"/>
            <w:vMerge/>
          </w:tcPr>
          <w:p w:rsidR="004F37C4" w:rsidRDefault="004F37C4" w:rsidP="00BC1066"/>
        </w:tc>
        <w:tc>
          <w:tcPr>
            <w:tcW w:w="2303" w:type="dxa"/>
          </w:tcPr>
          <w:p w:rsidR="004F37C4" w:rsidRDefault="004F37C4" w:rsidP="00BC1066">
            <w:r>
              <w:t>Litvánia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/67,5 mg/m3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15 </w:t>
            </w:r>
            <w:proofErr w:type="spellStart"/>
            <w:r>
              <w:t>ppm</w:t>
            </w:r>
            <w:proofErr w:type="spellEnd"/>
            <w:r>
              <w:t>/101,2 mg/m3</w:t>
            </w:r>
          </w:p>
        </w:tc>
      </w:tr>
      <w:tr w:rsidR="004F37C4" w:rsidTr="00BC1066">
        <w:tc>
          <w:tcPr>
            <w:tcW w:w="2303" w:type="dxa"/>
            <w:vMerge/>
          </w:tcPr>
          <w:p w:rsidR="004F37C4" w:rsidRDefault="004F37C4" w:rsidP="00BC1066"/>
        </w:tc>
        <w:tc>
          <w:tcPr>
            <w:tcW w:w="2303" w:type="dxa"/>
          </w:tcPr>
          <w:p w:rsidR="004F37C4" w:rsidRDefault="004F37C4" w:rsidP="00BC1066">
            <w:r>
              <w:t>Lengyelország</w:t>
            </w:r>
          </w:p>
        </w:tc>
        <w:tc>
          <w:tcPr>
            <w:tcW w:w="2303" w:type="dxa"/>
          </w:tcPr>
          <w:p w:rsidR="004F37C4" w:rsidRDefault="004F37C4" w:rsidP="00BC1066">
            <w:r>
              <w:t>67,5 mg/m3</w:t>
            </w:r>
          </w:p>
        </w:tc>
        <w:tc>
          <w:tcPr>
            <w:tcW w:w="2303" w:type="dxa"/>
          </w:tcPr>
          <w:p w:rsidR="004F37C4" w:rsidRDefault="004F37C4" w:rsidP="00BC1066">
            <w:r>
              <w:t>101,2 mg/m3</w:t>
            </w:r>
          </w:p>
        </w:tc>
      </w:tr>
      <w:tr w:rsidR="004F37C4" w:rsidTr="00BC1066">
        <w:tc>
          <w:tcPr>
            <w:tcW w:w="2303" w:type="dxa"/>
            <w:vMerge/>
          </w:tcPr>
          <w:p w:rsidR="004F37C4" w:rsidRDefault="004F37C4" w:rsidP="00BC1066"/>
        </w:tc>
        <w:tc>
          <w:tcPr>
            <w:tcW w:w="2303" w:type="dxa"/>
          </w:tcPr>
          <w:p w:rsidR="004F37C4" w:rsidRDefault="004F37C4" w:rsidP="00BC1066">
            <w:r>
              <w:t>Spanyolország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/67,5 mg/m3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15 </w:t>
            </w:r>
            <w:proofErr w:type="spellStart"/>
            <w:r>
              <w:t>ppm</w:t>
            </w:r>
            <w:proofErr w:type="spellEnd"/>
            <w:r>
              <w:t>/101,2 mg/m3</w:t>
            </w:r>
          </w:p>
        </w:tc>
      </w:tr>
      <w:tr w:rsidR="004F37C4" w:rsidTr="00BC1066">
        <w:tc>
          <w:tcPr>
            <w:tcW w:w="2303" w:type="dxa"/>
            <w:vMerge/>
          </w:tcPr>
          <w:p w:rsidR="004F37C4" w:rsidRDefault="004F37C4" w:rsidP="00BC1066"/>
        </w:tc>
        <w:tc>
          <w:tcPr>
            <w:tcW w:w="2303" w:type="dxa"/>
          </w:tcPr>
          <w:p w:rsidR="004F37C4" w:rsidRDefault="004F37C4" w:rsidP="00BC1066">
            <w:r>
              <w:t>Svédország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15 </w:t>
            </w:r>
            <w:proofErr w:type="spellStart"/>
            <w:r>
              <w:t>ppm</w:t>
            </w:r>
            <w:proofErr w:type="spellEnd"/>
            <w:r>
              <w:t>/ 100 mg/m3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30 </w:t>
            </w:r>
            <w:proofErr w:type="spellStart"/>
            <w:r>
              <w:t>ppm</w:t>
            </w:r>
            <w:proofErr w:type="spellEnd"/>
            <w:r>
              <w:t>/ 200 mg/m3</w:t>
            </w:r>
          </w:p>
        </w:tc>
      </w:tr>
      <w:tr w:rsidR="004F37C4" w:rsidTr="00BC1066">
        <w:tc>
          <w:tcPr>
            <w:tcW w:w="2303" w:type="dxa"/>
            <w:vMerge/>
          </w:tcPr>
          <w:p w:rsidR="004F37C4" w:rsidRDefault="004F37C4" w:rsidP="00BC1066"/>
        </w:tc>
        <w:tc>
          <w:tcPr>
            <w:tcW w:w="2303" w:type="dxa"/>
          </w:tcPr>
          <w:p w:rsidR="004F37C4" w:rsidRDefault="004F37C4" w:rsidP="00BC1066">
            <w:r>
              <w:t>Svájc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/67,5 mg/m3</w:t>
            </w:r>
          </w:p>
        </w:tc>
        <w:tc>
          <w:tcPr>
            <w:tcW w:w="2303" w:type="dxa"/>
          </w:tcPr>
          <w:p w:rsidR="004F37C4" w:rsidRDefault="004F37C4" w:rsidP="00BC1066">
            <w:r>
              <w:t xml:space="preserve">15 </w:t>
            </w:r>
            <w:proofErr w:type="spellStart"/>
            <w:r>
              <w:t>ppm</w:t>
            </w:r>
            <w:proofErr w:type="spellEnd"/>
            <w:r>
              <w:t>/101,2 mg/m3</w:t>
            </w:r>
          </w:p>
        </w:tc>
      </w:tr>
      <w:tr w:rsidR="004F37C4" w:rsidTr="00942A15">
        <w:tc>
          <w:tcPr>
            <w:tcW w:w="2303" w:type="dxa"/>
            <w:vMerge/>
          </w:tcPr>
          <w:p w:rsidR="004F37C4" w:rsidRDefault="004F37C4" w:rsidP="00587A56"/>
        </w:tc>
        <w:tc>
          <w:tcPr>
            <w:tcW w:w="2303" w:type="dxa"/>
          </w:tcPr>
          <w:p w:rsidR="004F37C4" w:rsidRDefault="004F37C4" w:rsidP="00587A56">
            <w:r>
              <w:t>Hollandia</w:t>
            </w:r>
          </w:p>
        </w:tc>
        <w:tc>
          <w:tcPr>
            <w:tcW w:w="2303" w:type="dxa"/>
          </w:tcPr>
          <w:p w:rsidR="004F37C4" w:rsidRDefault="004F37C4" w:rsidP="00587A56">
            <w:r>
              <w:t>50 mg/m3</w:t>
            </w:r>
          </w:p>
        </w:tc>
        <w:tc>
          <w:tcPr>
            <w:tcW w:w="2303" w:type="dxa"/>
          </w:tcPr>
          <w:p w:rsidR="004F37C4" w:rsidRDefault="004F37C4" w:rsidP="00587A56">
            <w:r>
              <w:t>100 mg/m3</w:t>
            </w:r>
          </w:p>
        </w:tc>
      </w:tr>
      <w:tr w:rsidR="004F37C4" w:rsidTr="00942A15">
        <w:tc>
          <w:tcPr>
            <w:tcW w:w="2303" w:type="dxa"/>
            <w:vMerge/>
          </w:tcPr>
          <w:p w:rsidR="004F37C4" w:rsidRDefault="004F37C4" w:rsidP="00587A56"/>
        </w:tc>
        <w:tc>
          <w:tcPr>
            <w:tcW w:w="2303" w:type="dxa"/>
          </w:tcPr>
          <w:p w:rsidR="004F37C4" w:rsidRDefault="004F37C4" w:rsidP="00587A56">
            <w:r>
              <w:t>Egyesült királyság</w:t>
            </w:r>
          </w:p>
        </w:tc>
        <w:tc>
          <w:tcPr>
            <w:tcW w:w="2303" w:type="dxa"/>
          </w:tcPr>
          <w:p w:rsidR="004F37C4" w:rsidRDefault="004F37C4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/67,5 mg/m3</w:t>
            </w:r>
          </w:p>
        </w:tc>
        <w:tc>
          <w:tcPr>
            <w:tcW w:w="2303" w:type="dxa"/>
          </w:tcPr>
          <w:p w:rsidR="004F37C4" w:rsidRDefault="004F37C4" w:rsidP="00587A56">
            <w:r>
              <w:t xml:space="preserve">15 </w:t>
            </w:r>
            <w:proofErr w:type="spellStart"/>
            <w:r>
              <w:t>ppm</w:t>
            </w:r>
            <w:proofErr w:type="spellEnd"/>
            <w:r>
              <w:t>/101,2 mg/m3</w:t>
            </w:r>
          </w:p>
        </w:tc>
      </w:tr>
      <w:tr w:rsidR="00FB0C7E" w:rsidTr="00942A15">
        <w:tc>
          <w:tcPr>
            <w:tcW w:w="2303" w:type="dxa"/>
            <w:vMerge w:val="restart"/>
          </w:tcPr>
          <w:p w:rsidR="00FB0C7E" w:rsidRDefault="00FB0C7E" w:rsidP="00587A56">
            <w:proofErr w:type="spellStart"/>
            <w:r>
              <w:t>Metil-diglikol</w:t>
            </w:r>
            <w:proofErr w:type="spellEnd"/>
          </w:p>
        </w:tc>
        <w:tc>
          <w:tcPr>
            <w:tcW w:w="2303" w:type="dxa"/>
          </w:tcPr>
          <w:p w:rsidR="00FB0C7E" w:rsidRDefault="00FB0C7E" w:rsidP="00587A56">
            <w:r>
              <w:t>Ausztria</w:t>
            </w:r>
          </w:p>
        </w:tc>
        <w:tc>
          <w:tcPr>
            <w:tcW w:w="2303" w:type="dxa"/>
          </w:tcPr>
          <w:p w:rsidR="00FB0C7E" w:rsidRDefault="00FB0C7E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/50,1 mg/m3</w:t>
            </w:r>
          </w:p>
        </w:tc>
        <w:tc>
          <w:tcPr>
            <w:tcW w:w="2303" w:type="dxa"/>
          </w:tcPr>
          <w:p w:rsidR="00FB0C7E" w:rsidRDefault="00FB0C7E" w:rsidP="00587A56"/>
        </w:tc>
      </w:tr>
      <w:tr w:rsidR="00FB0C7E" w:rsidTr="00942A15">
        <w:tc>
          <w:tcPr>
            <w:tcW w:w="2303" w:type="dxa"/>
            <w:vMerge/>
          </w:tcPr>
          <w:p w:rsidR="00FB0C7E" w:rsidRDefault="00FB0C7E" w:rsidP="00587A56"/>
        </w:tc>
        <w:tc>
          <w:tcPr>
            <w:tcW w:w="2303" w:type="dxa"/>
          </w:tcPr>
          <w:p w:rsidR="00FB0C7E" w:rsidRDefault="00FB0C7E" w:rsidP="00587A56">
            <w:r>
              <w:t>Belgium</w:t>
            </w:r>
          </w:p>
        </w:tc>
        <w:tc>
          <w:tcPr>
            <w:tcW w:w="2303" w:type="dxa"/>
          </w:tcPr>
          <w:p w:rsidR="00FB0C7E" w:rsidRDefault="00FB0C7E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/50,1 mg/m3</w:t>
            </w:r>
          </w:p>
        </w:tc>
        <w:tc>
          <w:tcPr>
            <w:tcW w:w="2303" w:type="dxa"/>
          </w:tcPr>
          <w:p w:rsidR="00FB0C7E" w:rsidRDefault="00FB0C7E" w:rsidP="00587A56"/>
        </w:tc>
      </w:tr>
      <w:tr w:rsidR="00FB0C7E" w:rsidTr="00942A15">
        <w:tc>
          <w:tcPr>
            <w:tcW w:w="2303" w:type="dxa"/>
            <w:vMerge/>
          </w:tcPr>
          <w:p w:rsidR="00FB0C7E" w:rsidRDefault="00FB0C7E" w:rsidP="00587A56"/>
        </w:tc>
        <w:tc>
          <w:tcPr>
            <w:tcW w:w="2303" w:type="dxa"/>
          </w:tcPr>
          <w:p w:rsidR="00FB0C7E" w:rsidRDefault="00FB0C7E" w:rsidP="00587A56">
            <w:r>
              <w:t>Dánia</w:t>
            </w:r>
          </w:p>
        </w:tc>
        <w:tc>
          <w:tcPr>
            <w:tcW w:w="2303" w:type="dxa"/>
          </w:tcPr>
          <w:p w:rsidR="00FB0C7E" w:rsidRDefault="00FB0C7E" w:rsidP="00587A56">
            <w:r>
              <w:t xml:space="preserve">25 </w:t>
            </w:r>
            <w:proofErr w:type="spellStart"/>
            <w:r>
              <w:t>ppm</w:t>
            </w:r>
            <w:proofErr w:type="spellEnd"/>
          </w:p>
        </w:tc>
        <w:tc>
          <w:tcPr>
            <w:tcW w:w="2303" w:type="dxa"/>
          </w:tcPr>
          <w:p w:rsidR="00FB0C7E" w:rsidRDefault="00FB0C7E" w:rsidP="00587A56"/>
        </w:tc>
      </w:tr>
      <w:tr w:rsidR="00FB0C7E" w:rsidTr="00942A15">
        <w:tc>
          <w:tcPr>
            <w:tcW w:w="2303" w:type="dxa"/>
            <w:vMerge/>
          </w:tcPr>
          <w:p w:rsidR="00FB0C7E" w:rsidRDefault="00FB0C7E" w:rsidP="00587A56"/>
        </w:tc>
        <w:tc>
          <w:tcPr>
            <w:tcW w:w="2303" w:type="dxa"/>
          </w:tcPr>
          <w:p w:rsidR="00FB0C7E" w:rsidRDefault="00FB0C7E" w:rsidP="00587A56">
            <w:r>
              <w:t>EU</w:t>
            </w:r>
          </w:p>
        </w:tc>
        <w:tc>
          <w:tcPr>
            <w:tcW w:w="2303" w:type="dxa"/>
          </w:tcPr>
          <w:p w:rsidR="00FB0C7E" w:rsidRDefault="00FB0C7E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/50,1 mg/m3</w:t>
            </w:r>
          </w:p>
        </w:tc>
        <w:tc>
          <w:tcPr>
            <w:tcW w:w="2303" w:type="dxa"/>
          </w:tcPr>
          <w:p w:rsidR="00FB0C7E" w:rsidRDefault="00FB0C7E" w:rsidP="00587A56"/>
        </w:tc>
      </w:tr>
      <w:tr w:rsidR="00FB0C7E" w:rsidTr="00BC1066">
        <w:tc>
          <w:tcPr>
            <w:tcW w:w="2303" w:type="dxa"/>
            <w:vMerge/>
          </w:tcPr>
          <w:p w:rsidR="00FB0C7E" w:rsidRDefault="00FB0C7E" w:rsidP="00BC1066"/>
        </w:tc>
        <w:tc>
          <w:tcPr>
            <w:tcW w:w="2303" w:type="dxa"/>
          </w:tcPr>
          <w:p w:rsidR="00FB0C7E" w:rsidRDefault="00FB0C7E" w:rsidP="00BC1066">
            <w:r>
              <w:t>Franciaország</w:t>
            </w:r>
          </w:p>
        </w:tc>
        <w:tc>
          <w:tcPr>
            <w:tcW w:w="2303" w:type="dxa"/>
          </w:tcPr>
          <w:p w:rsidR="00FB0C7E" w:rsidRDefault="00FB0C7E" w:rsidP="00BC106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/50,1 mg/m3</w:t>
            </w:r>
          </w:p>
        </w:tc>
        <w:tc>
          <w:tcPr>
            <w:tcW w:w="2303" w:type="dxa"/>
          </w:tcPr>
          <w:p w:rsidR="00FB0C7E" w:rsidRDefault="00FB0C7E" w:rsidP="00BC1066"/>
        </w:tc>
      </w:tr>
      <w:tr w:rsidR="00FB0C7E" w:rsidTr="00BC1066">
        <w:tc>
          <w:tcPr>
            <w:tcW w:w="2303" w:type="dxa"/>
            <w:vMerge/>
          </w:tcPr>
          <w:p w:rsidR="00FB0C7E" w:rsidRDefault="00FB0C7E" w:rsidP="00BC1066"/>
        </w:tc>
        <w:tc>
          <w:tcPr>
            <w:tcW w:w="2303" w:type="dxa"/>
          </w:tcPr>
          <w:p w:rsidR="00FB0C7E" w:rsidRDefault="00FB0C7E" w:rsidP="00BC1066">
            <w:r>
              <w:t>Németország</w:t>
            </w:r>
          </w:p>
        </w:tc>
        <w:tc>
          <w:tcPr>
            <w:tcW w:w="2303" w:type="dxa"/>
          </w:tcPr>
          <w:p w:rsidR="00FB0C7E" w:rsidRDefault="00FB0C7E" w:rsidP="00BC106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/50,1 mg/m3</w:t>
            </w:r>
          </w:p>
        </w:tc>
        <w:tc>
          <w:tcPr>
            <w:tcW w:w="2303" w:type="dxa"/>
          </w:tcPr>
          <w:p w:rsidR="00FB0C7E" w:rsidRDefault="00FB0C7E" w:rsidP="00BC1066"/>
        </w:tc>
      </w:tr>
      <w:tr w:rsidR="00FB0C7E" w:rsidTr="00BC1066">
        <w:tc>
          <w:tcPr>
            <w:tcW w:w="2303" w:type="dxa"/>
            <w:vMerge/>
          </w:tcPr>
          <w:p w:rsidR="00FB0C7E" w:rsidRDefault="00FB0C7E" w:rsidP="00BC1066"/>
        </w:tc>
        <w:tc>
          <w:tcPr>
            <w:tcW w:w="2303" w:type="dxa"/>
          </w:tcPr>
          <w:p w:rsidR="00FB0C7E" w:rsidRDefault="00FB0C7E" w:rsidP="00BC1066">
            <w:r>
              <w:t>Magyarország</w:t>
            </w:r>
          </w:p>
        </w:tc>
        <w:tc>
          <w:tcPr>
            <w:tcW w:w="2303" w:type="dxa"/>
          </w:tcPr>
          <w:p w:rsidR="00FB0C7E" w:rsidRDefault="00FB0C7E" w:rsidP="00BC1066">
            <w:r>
              <w:t>50,1 mg/m3</w:t>
            </w:r>
          </w:p>
        </w:tc>
        <w:tc>
          <w:tcPr>
            <w:tcW w:w="2303" w:type="dxa"/>
          </w:tcPr>
          <w:p w:rsidR="00FB0C7E" w:rsidRDefault="00FB0C7E" w:rsidP="00BC1066"/>
        </w:tc>
      </w:tr>
      <w:tr w:rsidR="00FB0C7E" w:rsidTr="00BC1066">
        <w:tc>
          <w:tcPr>
            <w:tcW w:w="2303" w:type="dxa"/>
            <w:vMerge/>
          </w:tcPr>
          <w:p w:rsidR="00FB0C7E" w:rsidRDefault="00FB0C7E" w:rsidP="00BC1066"/>
        </w:tc>
        <w:tc>
          <w:tcPr>
            <w:tcW w:w="2303" w:type="dxa"/>
          </w:tcPr>
          <w:p w:rsidR="00FB0C7E" w:rsidRDefault="00FB0C7E" w:rsidP="00BC1066">
            <w:r>
              <w:t>Olaszország</w:t>
            </w:r>
          </w:p>
        </w:tc>
        <w:tc>
          <w:tcPr>
            <w:tcW w:w="2303" w:type="dxa"/>
          </w:tcPr>
          <w:p w:rsidR="00FB0C7E" w:rsidRDefault="00FB0C7E" w:rsidP="00BC106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/50,1 mg/m3</w:t>
            </w:r>
          </w:p>
        </w:tc>
        <w:tc>
          <w:tcPr>
            <w:tcW w:w="2303" w:type="dxa"/>
          </w:tcPr>
          <w:p w:rsidR="00FB0C7E" w:rsidRDefault="00FB0C7E" w:rsidP="00BC1066"/>
        </w:tc>
      </w:tr>
      <w:tr w:rsidR="00FB0C7E" w:rsidTr="00BC1066">
        <w:tc>
          <w:tcPr>
            <w:tcW w:w="2303" w:type="dxa"/>
            <w:vMerge/>
          </w:tcPr>
          <w:p w:rsidR="00FB0C7E" w:rsidRDefault="00FB0C7E" w:rsidP="00BC1066"/>
        </w:tc>
        <w:tc>
          <w:tcPr>
            <w:tcW w:w="2303" w:type="dxa"/>
          </w:tcPr>
          <w:p w:rsidR="00FB0C7E" w:rsidRDefault="00FB0C7E" w:rsidP="00BC1066">
            <w:r>
              <w:t>Litvánia</w:t>
            </w:r>
          </w:p>
        </w:tc>
        <w:tc>
          <w:tcPr>
            <w:tcW w:w="2303" w:type="dxa"/>
          </w:tcPr>
          <w:p w:rsidR="00FB0C7E" w:rsidRDefault="00FB0C7E" w:rsidP="00BC1066">
            <w:r>
              <w:t xml:space="preserve">20 </w:t>
            </w:r>
            <w:proofErr w:type="spellStart"/>
            <w:r>
              <w:t>ppm</w:t>
            </w:r>
            <w:proofErr w:type="spellEnd"/>
            <w:r>
              <w:t>/100 mg/m3</w:t>
            </w:r>
          </w:p>
        </w:tc>
        <w:tc>
          <w:tcPr>
            <w:tcW w:w="2303" w:type="dxa"/>
          </w:tcPr>
          <w:p w:rsidR="00FB0C7E" w:rsidRDefault="00FB0C7E" w:rsidP="00BC1066"/>
        </w:tc>
      </w:tr>
      <w:tr w:rsidR="00FB0C7E" w:rsidTr="00BC1066">
        <w:tc>
          <w:tcPr>
            <w:tcW w:w="2303" w:type="dxa"/>
            <w:vMerge/>
          </w:tcPr>
          <w:p w:rsidR="00FB0C7E" w:rsidRDefault="00FB0C7E" w:rsidP="00BC1066"/>
        </w:tc>
        <w:tc>
          <w:tcPr>
            <w:tcW w:w="2303" w:type="dxa"/>
          </w:tcPr>
          <w:p w:rsidR="00FB0C7E" w:rsidRDefault="00FB0C7E" w:rsidP="00BC1066">
            <w:r>
              <w:t>Lengyelország</w:t>
            </w:r>
          </w:p>
        </w:tc>
        <w:tc>
          <w:tcPr>
            <w:tcW w:w="2303" w:type="dxa"/>
          </w:tcPr>
          <w:p w:rsidR="00FB0C7E" w:rsidRDefault="00FB0C7E" w:rsidP="00BC1066">
            <w:r>
              <w:t>50,0 mg/m3</w:t>
            </w:r>
          </w:p>
        </w:tc>
        <w:tc>
          <w:tcPr>
            <w:tcW w:w="2303" w:type="dxa"/>
          </w:tcPr>
          <w:p w:rsidR="00FB0C7E" w:rsidRDefault="00FB0C7E" w:rsidP="00BC1066"/>
        </w:tc>
      </w:tr>
      <w:tr w:rsidR="00FB0C7E" w:rsidTr="00942A15">
        <w:tc>
          <w:tcPr>
            <w:tcW w:w="2303" w:type="dxa"/>
            <w:vMerge/>
          </w:tcPr>
          <w:p w:rsidR="00FB0C7E" w:rsidRDefault="00FB0C7E" w:rsidP="00587A56"/>
        </w:tc>
        <w:tc>
          <w:tcPr>
            <w:tcW w:w="2303" w:type="dxa"/>
          </w:tcPr>
          <w:p w:rsidR="00FB0C7E" w:rsidRDefault="00FB0C7E" w:rsidP="00587A56">
            <w:r>
              <w:t>Spanyolország</w:t>
            </w:r>
          </w:p>
        </w:tc>
        <w:tc>
          <w:tcPr>
            <w:tcW w:w="2303" w:type="dxa"/>
          </w:tcPr>
          <w:p w:rsidR="00FB0C7E" w:rsidRDefault="00FB0C7E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 50,1 mg/m3</w:t>
            </w:r>
          </w:p>
        </w:tc>
        <w:tc>
          <w:tcPr>
            <w:tcW w:w="2303" w:type="dxa"/>
          </w:tcPr>
          <w:p w:rsidR="00FB0C7E" w:rsidRDefault="00FB0C7E" w:rsidP="00587A56"/>
        </w:tc>
      </w:tr>
      <w:tr w:rsidR="00FB0C7E" w:rsidTr="00942A15">
        <w:tc>
          <w:tcPr>
            <w:tcW w:w="2303" w:type="dxa"/>
            <w:vMerge/>
          </w:tcPr>
          <w:p w:rsidR="00FB0C7E" w:rsidRDefault="00FB0C7E" w:rsidP="00587A56"/>
        </w:tc>
        <w:tc>
          <w:tcPr>
            <w:tcW w:w="2303" w:type="dxa"/>
          </w:tcPr>
          <w:p w:rsidR="00FB0C7E" w:rsidRDefault="00FB0C7E" w:rsidP="00587A56">
            <w:r>
              <w:t>Hollandia</w:t>
            </w:r>
          </w:p>
        </w:tc>
        <w:tc>
          <w:tcPr>
            <w:tcW w:w="2303" w:type="dxa"/>
          </w:tcPr>
          <w:p w:rsidR="00FB0C7E" w:rsidRDefault="00FB0C7E" w:rsidP="00587A56">
            <w:r>
              <w:t>45 mg/m3</w:t>
            </w:r>
          </w:p>
        </w:tc>
        <w:tc>
          <w:tcPr>
            <w:tcW w:w="2303" w:type="dxa"/>
          </w:tcPr>
          <w:p w:rsidR="00FB0C7E" w:rsidRDefault="00FB0C7E" w:rsidP="00587A56"/>
        </w:tc>
      </w:tr>
      <w:tr w:rsidR="00FB0C7E" w:rsidTr="00942A15">
        <w:tc>
          <w:tcPr>
            <w:tcW w:w="2303" w:type="dxa"/>
            <w:vMerge/>
          </w:tcPr>
          <w:p w:rsidR="00FB0C7E" w:rsidRDefault="00FB0C7E" w:rsidP="00587A56"/>
        </w:tc>
        <w:tc>
          <w:tcPr>
            <w:tcW w:w="2303" w:type="dxa"/>
          </w:tcPr>
          <w:p w:rsidR="00FB0C7E" w:rsidRDefault="00FB0C7E" w:rsidP="00587A56">
            <w:r>
              <w:t>Egyesült Királyság</w:t>
            </w:r>
          </w:p>
        </w:tc>
        <w:tc>
          <w:tcPr>
            <w:tcW w:w="2303" w:type="dxa"/>
          </w:tcPr>
          <w:p w:rsidR="00FB0C7E" w:rsidRDefault="00FB0C7E" w:rsidP="00587A56">
            <w:r>
              <w:t xml:space="preserve">10 </w:t>
            </w:r>
            <w:proofErr w:type="spellStart"/>
            <w:r>
              <w:t>ppm</w:t>
            </w:r>
            <w:proofErr w:type="spellEnd"/>
            <w:r>
              <w:t>/50,1 mg/m3</w:t>
            </w:r>
          </w:p>
        </w:tc>
        <w:tc>
          <w:tcPr>
            <w:tcW w:w="2303" w:type="dxa"/>
          </w:tcPr>
          <w:p w:rsidR="00FB0C7E" w:rsidRDefault="00FB0C7E" w:rsidP="00587A56"/>
        </w:tc>
      </w:tr>
    </w:tbl>
    <w:p w:rsidR="00942A15" w:rsidRDefault="00942A15" w:rsidP="00587A56"/>
    <w:p w:rsidR="00DE5EA3" w:rsidRDefault="00AD50F5" w:rsidP="00587A56">
      <w:pPr>
        <w:rPr>
          <w:u w:val="single"/>
        </w:rPr>
      </w:pPr>
      <w:r w:rsidRPr="00775454">
        <w:rPr>
          <w:u w:val="single"/>
        </w:rPr>
        <w:t xml:space="preserve">8.1.2  Származtatott </w:t>
      </w:r>
      <w:r w:rsidR="00775454" w:rsidRPr="00775454">
        <w:rPr>
          <w:u w:val="single"/>
        </w:rPr>
        <w:t>Hatástalan Szintek</w:t>
      </w:r>
    </w:p>
    <w:p w:rsidR="00775454" w:rsidRPr="00775454" w:rsidRDefault="00775454" w:rsidP="00587A56">
      <w:pPr>
        <w:rPr>
          <w:b/>
          <w:u w:val="single"/>
        </w:rPr>
      </w:pPr>
      <w:proofErr w:type="spellStart"/>
      <w:r w:rsidRPr="00775454">
        <w:rPr>
          <w:b/>
          <w:u w:val="single"/>
        </w:rPr>
        <w:t>Butil-triglikol</w:t>
      </w:r>
      <w:proofErr w:type="spellEnd"/>
    </w:p>
    <w:tbl>
      <w:tblPr>
        <w:tblStyle w:val="Rcsostblzat"/>
        <w:tblW w:w="0" w:type="auto"/>
        <w:tblLook w:val="04A0"/>
      </w:tblPr>
      <w:tblGrid>
        <w:gridCol w:w="6204"/>
        <w:gridCol w:w="1842"/>
        <w:gridCol w:w="1166"/>
      </w:tblGrid>
      <w:tr w:rsidR="00775454" w:rsidTr="00775454">
        <w:tc>
          <w:tcPr>
            <w:tcW w:w="6204" w:type="dxa"/>
          </w:tcPr>
          <w:p w:rsidR="00775454" w:rsidRPr="00775454" w:rsidRDefault="00775454" w:rsidP="00775454">
            <w:r>
              <w:t>Dolgozó, Hosszas</w:t>
            </w:r>
            <w:r w:rsidRPr="00775454">
              <w:t xml:space="preserve"> érintkezés – rendszeri hatások, bőr</w:t>
            </w:r>
          </w:p>
        </w:tc>
        <w:tc>
          <w:tcPr>
            <w:tcW w:w="1842" w:type="dxa"/>
          </w:tcPr>
          <w:p w:rsidR="00775454" w:rsidRPr="00775454" w:rsidRDefault="00775454" w:rsidP="00775454">
            <w:r w:rsidRPr="00775454">
              <w:t>50</w:t>
            </w:r>
          </w:p>
        </w:tc>
        <w:tc>
          <w:tcPr>
            <w:tcW w:w="1166" w:type="dxa"/>
          </w:tcPr>
          <w:p w:rsidR="00775454" w:rsidRPr="00775454" w:rsidRDefault="00775454" w:rsidP="00775454">
            <w:r>
              <w:t>mg/kg/nap</w:t>
            </w:r>
          </w:p>
        </w:tc>
      </w:tr>
      <w:tr w:rsidR="00775454" w:rsidTr="00775454">
        <w:tc>
          <w:tcPr>
            <w:tcW w:w="6204" w:type="dxa"/>
          </w:tcPr>
          <w:p w:rsidR="00775454" w:rsidRPr="00775454" w:rsidRDefault="00775454" w:rsidP="00775454">
            <w:r>
              <w:t>Dolgozó, Hosszas érintkezés – rendszeri hatások, belégzés</w:t>
            </w:r>
          </w:p>
        </w:tc>
        <w:tc>
          <w:tcPr>
            <w:tcW w:w="1842" w:type="dxa"/>
          </w:tcPr>
          <w:p w:rsidR="00775454" w:rsidRPr="00775454" w:rsidRDefault="00775454" w:rsidP="00775454">
            <w:r>
              <w:t>195</w:t>
            </w:r>
          </w:p>
        </w:tc>
        <w:tc>
          <w:tcPr>
            <w:tcW w:w="1166" w:type="dxa"/>
          </w:tcPr>
          <w:p w:rsidR="00775454" w:rsidRPr="00775454" w:rsidRDefault="00775454" w:rsidP="00775454">
            <w:r>
              <w:t>mg/m3</w:t>
            </w:r>
          </w:p>
        </w:tc>
      </w:tr>
      <w:tr w:rsidR="00775454" w:rsidTr="00775454">
        <w:tc>
          <w:tcPr>
            <w:tcW w:w="6204" w:type="dxa"/>
          </w:tcPr>
          <w:p w:rsidR="00775454" w:rsidRPr="00775454" w:rsidRDefault="00775454" w:rsidP="00775454">
            <w:r>
              <w:t>Fogyasztó, Hosszas érintkezés – rendszeri hatások, bőr</w:t>
            </w:r>
          </w:p>
        </w:tc>
        <w:tc>
          <w:tcPr>
            <w:tcW w:w="1842" w:type="dxa"/>
          </w:tcPr>
          <w:p w:rsidR="00775454" w:rsidRPr="00775454" w:rsidRDefault="00775454" w:rsidP="00775454">
            <w:r>
              <w:t>25</w:t>
            </w:r>
          </w:p>
        </w:tc>
        <w:tc>
          <w:tcPr>
            <w:tcW w:w="1166" w:type="dxa"/>
          </w:tcPr>
          <w:p w:rsidR="00775454" w:rsidRPr="00775454" w:rsidRDefault="00775454" w:rsidP="00775454">
            <w:r>
              <w:t>mg/kg/nap</w:t>
            </w:r>
          </w:p>
        </w:tc>
      </w:tr>
      <w:tr w:rsidR="00775454" w:rsidTr="00775454">
        <w:tc>
          <w:tcPr>
            <w:tcW w:w="6204" w:type="dxa"/>
          </w:tcPr>
          <w:p w:rsidR="00775454" w:rsidRPr="00775454" w:rsidRDefault="00775454" w:rsidP="00775454">
            <w:r>
              <w:t>Fogyasztó, Hosszas érintkezés – rendszeri hatások, belégzés</w:t>
            </w:r>
          </w:p>
        </w:tc>
        <w:tc>
          <w:tcPr>
            <w:tcW w:w="1842" w:type="dxa"/>
          </w:tcPr>
          <w:p w:rsidR="00775454" w:rsidRPr="00775454" w:rsidRDefault="00775454" w:rsidP="00775454">
            <w:r>
              <w:t>117</w:t>
            </w:r>
          </w:p>
        </w:tc>
        <w:tc>
          <w:tcPr>
            <w:tcW w:w="1166" w:type="dxa"/>
          </w:tcPr>
          <w:p w:rsidR="00775454" w:rsidRPr="00775454" w:rsidRDefault="00775454" w:rsidP="00775454">
            <w:r>
              <w:t>mg/m3</w:t>
            </w:r>
          </w:p>
        </w:tc>
      </w:tr>
      <w:tr w:rsidR="00775454" w:rsidTr="00775454">
        <w:tc>
          <w:tcPr>
            <w:tcW w:w="6204" w:type="dxa"/>
          </w:tcPr>
          <w:p w:rsidR="00775454" w:rsidRPr="00775454" w:rsidRDefault="00775454" w:rsidP="00775454">
            <w:r>
              <w:t>Fogyasztó, Hosszas érintkezés – rendszeri hatások</w:t>
            </w:r>
            <w:r w:rsidR="00B33065">
              <w:t>, szájon át</w:t>
            </w:r>
          </w:p>
        </w:tc>
        <w:tc>
          <w:tcPr>
            <w:tcW w:w="1842" w:type="dxa"/>
          </w:tcPr>
          <w:p w:rsidR="00775454" w:rsidRPr="00775454" w:rsidRDefault="00775454" w:rsidP="00775454">
            <w:r>
              <w:t>2,5</w:t>
            </w:r>
          </w:p>
        </w:tc>
        <w:tc>
          <w:tcPr>
            <w:tcW w:w="1166" w:type="dxa"/>
          </w:tcPr>
          <w:p w:rsidR="00775454" w:rsidRPr="00775454" w:rsidRDefault="00775454" w:rsidP="00775454">
            <w:r>
              <w:t>mg/kg/nap</w:t>
            </w:r>
          </w:p>
        </w:tc>
      </w:tr>
    </w:tbl>
    <w:p w:rsidR="00775454" w:rsidRPr="00775454" w:rsidRDefault="00775454" w:rsidP="00775454">
      <w:pPr>
        <w:rPr>
          <w:b/>
          <w:u w:val="single"/>
        </w:rPr>
      </w:pPr>
      <w:proofErr w:type="spellStart"/>
      <w:r>
        <w:rPr>
          <w:b/>
          <w:u w:val="single"/>
        </w:rPr>
        <w:t>Butil-diglikol</w:t>
      </w:r>
      <w:proofErr w:type="spellEnd"/>
    </w:p>
    <w:tbl>
      <w:tblPr>
        <w:tblStyle w:val="Rcsostblzat"/>
        <w:tblW w:w="0" w:type="auto"/>
        <w:tblLook w:val="04A0"/>
      </w:tblPr>
      <w:tblGrid>
        <w:gridCol w:w="6204"/>
        <w:gridCol w:w="1842"/>
        <w:gridCol w:w="1166"/>
      </w:tblGrid>
      <w:tr w:rsidR="00775454" w:rsidTr="00BC1066">
        <w:tc>
          <w:tcPr>
            <w:tcW w:w="6204" w:type="dxa"/>
          </w:tcPr>
          <w:p w:rsidR="00775454" w:rsidRDefault="00775454" w:rsidP="00BC1066">
            <w:r>
              <w:t>Dolgozó, Rövid érintkezés – helyi hatások, belégzés</w:t>
            </w:r>
          </w:p>
        </w:tc>
        <w:tc>
          <w:tcPr>
            <w:tcW w:w="1842" w:type="dxa"/>
          </w:tcPr>
          <w:p w:rsidR="00775454" w:rsidRPr="00775454" w:rsidRDefault="00775454" w:rsidP="00BC1066">
            <w:r>
              <w:t>101,2</w:t>
            </w:r>
          </w:p>
        </w:tc>
        <w:tc>
          <w:tcPr>
            <w:tcW w:w="1166" w:type="dxa"/>
          </w:tcPr>
          <w:p w:rsidR="00775454" w:rsidRDefault="00775454" w:rsidP="00BC1066">
            <w:r>
              <w:t>mg/m3</w:t>
            </w:r>
          </w:p>
        </w:tc>
      </w:tr>
      <w:tr w:rsidR="00775454" w:rsidTr="00BC1066">
        <w:tc>
          <w:tcPr>
            <w:tcW w:w="6204" w:type="dxa"/>
          </w:tcPr>
          <w:p w:rsidR="00775454" w:rsidRPr="00775454" w:rsidRDefault="00775454" w:rsidP="00BC1066">
            <w:r>
              <w:t>Dolgozó, Hosszas</w:t>
            </w:r>
            <w:r w:rsidRPr="00775454">
              <w:t xml:space="preserve"> érintkezés – rendszeri hatások, bőr</w:t>
            </w:r>
          </w:p>
        </w:tc>
        <w:tc>
          <w:tcPr>
            <w:tcW w:w="1842" w:type="dxa"/>
          </w:tcPr>
          <w:p w:rsidR="00775454" w:rsidRPr="00775454" w:rsidRDefault="00775454" w:rsidP="00BC1066">
            <w:r>
              <w:t>20</w:t>
            </w:r>
          </w:p>
        </w:tc>
        <w:tc>
          <w:tcPr>
            <w:tcW w:w="1166" w:type="dxa"/>
          </w:tcPr>
          <w:p w:rsidR="00775454" w:rsidRPr="00775454" w:rsidRDefault="00775454" w:rsidP="00BC1066">
            <w:r>
              <w:t>mg/kg/nap</w:t>
            </w:r>
          </w:p>
        </w:tc>
      </w:tr>
      <w:tr w:rsidR="00775454" w:rsidTr="00BC1066">
        <w:tc>
          <w:tcPr>
            <w:tcW w:w="6204" w:type="dxa"/>
          </w:tcPr>
          <w:p w:rsidR="00775454" w:rsidRPr="00775454" w:rsidRDefault="00775454" w:rsidP="00BC1066">
            <w:r>
              <w:t>Dolgozó, Hosszas érintkezés – rendszeri hatások, belégzés</w:t>
            </w:r>
          </w:p>
        </w:tc>
        <w:tc>
          <w:tcPr>
            <w:tcW w:w="1842" w:type="dxa"/>
          </w:tcPr>
          <w:p w:rsidR="00775454" w:rsidRPr="00775454" w:rsidRDefault="00B33065" w:rsidP="00BC1066">
            <w:r>
              <w:t>67</w:t>
            </w:r>
          </w:p>
        </w:tc>
        <w:tc>
          <w:tcPr>
            <w:tcW w:w="1166" w:type="dxa"/>
          </w:tcPr>
          <w:p w:rsidR="00775454" w:rsidRPr="00775454" w:rsidRDefault="00775454" w:rsidP="00BC1066">
            <w:r>
              <w:t>mg/m3</w:t>
            </w:r>
          </w:p>
        </w:tc>
      </w:tr>
      <w:tr w:rsidR="00B33065" w:rsidTr="00BC1066">
        <w:tc>
          <w:tcPr>
            <w:tcW w:w="6204" w:type="dxa"/>
          </w:tcPr>
          <w:p w:rsidR="00B33065" w:rsidRDefault="00B33065" w:rsidP="00BC1066">
            <w:r>
              <w:t>Fogyasztó, Rövid érintkezés – helyi hatások, belégzés</w:t>
            </w:r>
          </w:p>
        </w:tc>
        <w:tc>
          <w:tcPr>
            <w:tcW w:w="1842" w:type="dxa"/>
          </w:tcPr>
          <w:p w:rsidR="00B33065" w:rsidRDefault="00B33065" w:rsidP="00BC1066">
            <w:r>
              <w:t>50,6</w:t>
            </w:r>
          </w:p>
        </w:tc>
        <w:tc>
          <w:tcPr>
            <w:tcW w:w="1166" w:type="dxa"/>
          </w:tcPr>
          <w:p w:rsidR="00B33065" w:rsidRDefault="00B33065" w:rsidP="00BC1066">
            <w:r>
              <w:t>mg/m3</w:t>
            </w:r>
          </w:p>
        </w:tc>
      </w:tr>
      <w:tr w:rsidR="00775454" w:rsidTr="00BC1066">
        <w:tc>
          <w:tcPr>
            <w:tcW w:w="6204" w:type="dxa"/>
          </w:tcPr>
          <w:p w:rsidR="00775454" w:rsidRPr="00775454" w:rsidRDefault="00775454" w:rsidP="00BC1066">
            <w:r>
              <w:t>Fogyasztó, Hosszas érintkezés – rendszeri hatások, bőr</w:t>
            </w:r>
          </w:p>
        </w:tc>
        <w:tc>
          <w:tcPr>
            <w:tcW w:w="1842" w:type="dxa"/>
          </w:tcPr>
          <w:p w:rsidR="00775454" w:rsidRPr="00775454" w:rsidRDefault="00B33065" w:rsidP="00BC1066">
            <w:r>
              <w:t>10</w:t>
            </w:r>
          </w:p>
        </w:tc>
        <w:tc>
          <w:tcPr>
            <w:tcW w:w="1166" w:type="dxa"/>
          </w:tcPr>
          <w:p w:rsidR="00775454" w:rsidRPr="00775454" w:rsidRDefault="00775454" w:rsidP="00BC1066">
            <w:r>
              <w:t>mg/kg/nap</w:t>
            </w:r>
          </w:p>
        </w:tc>
      </w:tr>
      <w:tr w:rsidR="00775454" w:rsidTr="00BC1066">
        <w:tc>
          <w:tcPr>
            <w:tcW w:w="6204" w:type="dxa"/>
          </w:tcPr>
          <w:p w:rsidR="00775454" w:rsidRPr="00775454" w:rsidRDefault="00775454" w:rsidP="00BC1066">
            <w:r>
              <w:t>Fogyasztó, Hosszas érintkezés – rendszeri hatások, belégzés</w:t>
            </w:r>
          </w:p>
        </w:tc>
        <w:tc>
          <w:tcPr>
            <w:tcW w:w="1842" w:type="dxa"/>
          </w:tcPr>
          <w:p w:rsidR="00775454" w:rsidRPr="00775454" w:rsidRDefault="00B33065" w:rsidP="00BC1066">
            <w:r>
              <w:t>34</w:t>
            </w:r>
          </w:p>
        </w:tc>
        <w:tc>
          <w:tcPr>
            <w:tcW w:w="1166" w:type="dxa"/>
          </w:tcPr>
          <w:p w:rsidR="00775454" w:rsidRPr="00775454" w:rsidRDefault="00775454" w:rsidP="00BC1066">
            <w:r>
              <w:t>mg/m3</w:t>
            </w:r>
          </w:p>
        </w:tc>
      </w:tr>
      <w:tr w:rsidR="00775454" w:rsidTr="00BC1066">
        <w:tc>
          <w:tcPr>
            <w:tcW w:w="6204" w:type="dxa"/>
          </w:tcPr>
          <w:p w:rsidR="00775454" w:rsidRPr="00775454" w:rsidRDefault="00775454" w:rsidP="00BC1066">
            <w:r>
              <w:t>Fogyasztó, Hosszas érintkezés – rendszeri hatások</w:t>
            </w:r>
            <w:r w:rsidR="00B33065">
              <w:t>, szájon át</w:t>
            </w:r>
          </w:p>
        </w:tc>
        <w:tc>
          <w:tcPr>
            <w:tcW w:w="1842" w:type="dxa"/>
          </w:tcPr>
          <w:p w:rsidR="00775454" w:rsidRPr="00775454" w:rsidRDefault="00B33065" w:rsidP="00BC1066">
            <w:r>
              <w:t>1,25</w:t>
            </w:r>
          </w:p>
        </w:tc>
        <w:tc>
          <w:tcPr>
            <w:tcW w:w="1166" w:type="dxa"/>
          </w:tcPr>
          <w:p w:rsidR="00775454" w:rsidRPr="00775454" w:rsidRDefault="00775454" w:rsidP="00BC1066">
            <w:r>
              <w:t>mg/kg/nap</w:t>
            </w:r>
          </w:p>
        </w:tc>
      </w:tr>
    </w:tbl>
    <w:p w:rsidR="00775454" w:rsidRPr="00775454" w:rsidRDefault="00775454" w:rsidP="00775454">
      <w:pPr>
        <w:rPr>
          <w:u w:val="single"/>
        </w:rPr>
      </w:pPr>
    </w:p>
    <w:p w:rsidR="00B33065" w:rsidRPr="00775454" w:rsidRDefault="00B33065" w:rsidP="00B33065">
      <w:pPr>
        <w:rPr>
          <w:b/>
          <w:u w:val="single"/>
        </w:rPr>
      </w:pPr>
      <w:proofErr w:type="spellStart"/>
      <w:r>
        <w:rPr>
          <w:b/>
          <w:u w:val="single"/>
        </w:rPr>
        <w:t>Dietilén-glikol</w:t>
      </w:r>
      <w:proofErr w:type="spellEnd"/>
    </w:p>
    <w:tbl>
      <w:tblPr>
        <w:tblStyle w:val="Rcsostblzat"/>
        <w:tblW w:w="0" w:type="auto"/>
        <w:tblLook w:val="04A0"/>
      </w:tblPr>
      <w:tblGrid>
        <w:gridCol w:w="6204"/>
        <w:gridCol w:w="1842"/>
        <w:gridCol w:w="1166"/>
      </w:tblGrid>
      <w:tr w:rsidR="00B33065" w:rsidTr="00BC1066">
        <w:tc>
          <w:tcPr>
            <w:tcW w:w="6204" w:type="dxa"/>
          </w:tcPr>
          <w:p w:rsidR="00B33065" w:rsidRPr="00775454" w:rsidRDefault="00B33065" w:rsidP="00BC1066">
            <w:r>
              <w:t>Dolgozó, Hosszas</w:t>
            </w:r>
            <w:r w:rsidRPr="00775454">
              <w:t xml:space="preserve"> érintkezés – rendszeri hatások, bőr</w:t>
            </w:r>
          </w:p>
        </w:tc>
        <w:tc>
          <w:tcPr>
            <w:tcW w:w="1842" w:type="dxa"/>
          </w:tcPr>
          <w:p w:rsidR="00B33065" w:rsidRPr="00775454" w:rsidRDefault="00B33065" w:rsidP="00BC1066">
            <w:r>
              <w:t>106</w:t>
            </w:r>
          </w:p>
        </w:tc>
        <w:tc>
          <w:tcPr>
            <w:tcW w:w="1166" w:type="dxa"/>
          </w:tcPr>
          <w:p w:rsidR="00B33065" w:rsidRPr="00775454" w:rsidRDefault="00B33065" w:rsidP="00BC1066">
            <w:r>
              <w:t>mg/kg/nap</w:t>
            </w:r>
          </w:p>
        </w:tc>
      </w:tr>
      <w:tr w:rsidR="00B33065" w:rsidTr="00BC1066">
        <w:tc>
          <w:tcPr>
            <w:tcW w:w="6204" w:type="dxa"/>
          </w:tcPr>
          <w:p w:rsidR="00B33065" w:rsidRPr="00775454" w:rsidRDefault="00B33065" w:rsidP="00BC1066">
            <w:r>
              <w:t>Dolgozó, Hosszas érintkezés – rendszeri hatások, belégzés</w:t>
            </w:r>
          </w:p>
        </w:tc>
        <w:tc>
          <w:tcPr>
            <w:tcW w:w="1842" w:type="dxa"/>
          </w:tcPr>
          <w:p w:rsidR="00B33065" w:rsidRPr="00775454" w:rsidRDefault="00B33065" w:rsidP="00BC1066">
            <w:r>
              <w:t>60</w:t>
            </w:r>
          </w:p>
        </w:tc>
        <w:tc>
          <w:tcPr>
            <w:tcW w:w="1166" w:type="dxa"/>
          </w:tcPr>
          <w:p w:rsidR="00B33065" w:rsidRPr="00775454" w:rsidRDefault="00B33065" w:rsidP="00BC1066">
            <w:r>
              <w:t>mg/m3</w:t>
            </w:r>
          </w:p>
        </w:tc>
      </w:tr>
      <w:tr w:rsidR="00B33065" w:rsidTr="00BC1066">
        <w:tc>
          <w:tcPr>
            <w:tcW w:w="6204" w:type="dxa"/>
          </w:tcPr>
          <w:p w:rsidR="00B33065" w:rsidRPr="00775454" w:rsidRDefault="00B33065" w:rsidP="00BC1066">
            <w:r>
              <w:t>Fogyasztó, Hosszas érintkezés – rendszeri hatások, bőr</w:t>
            </w:r>
          </w:p>
        </w:tc>
        <w:tc>
          <w:tcPr>
            <w:tcW w:w="1842" w:type="dxa"/>
          </w:tcPr>
          <w:p w:rsidR="00B33065" w:rsidRPr="00775454" w:rsidRDefault="00B33065" w:rsidP="00BC1066">
            <w:r>
              <w:t>53</w:t>
            </w:r>
          </w:p>
        </w:tc>
        <w:tc>
          <w:tcPr>
            <w:tcW w:w="1166" w:type="dxa"/>
          </w:tcPr>
          <w:p w:rsidR="00B33065" w:rsidRPr="00775454" w:rsidRDefault="00B33065" w:rsidP="00BC1066">
            <w:r>
              <w:t>mg/kg/nap</w:t>
            </w:r>
          </w:p>
        </w:tc>
      </w:tr>
      <w:tr w:rsidR="00B33065" w:rsidTr="00BC1066">
        <w:tc>
          <w:tcPr>
            <w:tcW w:w="6204" w:type="dxa"/>
          </w:tcPr>
          <w:p w:rsidR="00B33065" w:rsidRPr="00775454" w:rsidRDefault="00B33065" w:rsidP="00BC1066">
            <w:r>
              <w:t>Fogyasztó, Hosszas érintkezés – rendszeri hatások, belégzés</w:t>
            </w:r>
          </w:p>
        </w:tc>
        <w:tc>
          <w:tcPr>
            <w:tcW w:w="1842" w:type="dxa"/>
          </w:tcPr>
          <w:p w:rsidR="00B33065" w:rsidRPr="00775454" w:rsidRDefault="00B33065" w:rsidP="00BC1066">
            <w:r>
              <w:t>12</w:t>
            </w:r>
          </w:p>
        </w:tc>
        <w:tc>
          <w:tcPr>
            <w:tcW w:w="1166" w:type="dxa"/>
          </w:tcPr>
          <w:p w:rsidR="00B33065" w:rsidRPr="00775454" w:rsidRDefault="00B33065" w:rsidP="00BC1066">
            <w:r>
              <w:t>mg/m3</w:t>
            </w:r>
          </w:p>
        </w:tc>
      </w:tr>
    </w:tbl>
    <w:p w:rsidR="00B33065" w:rsidRPr="00775454" w:rsidRDefault="00B33065" w:rsidP="00B33065">
      <w:pPr>
        <w:rPr>
          <w:b/>
          <w:u w:val="single"/>
        </w:rPr>
      </w:pPr>
      <w:proofErr w:type="spellStart"/>
      <w:r>
        <w:rPr>
          <w:b/>
          <w:u w:val="single"/>
        </w:rPr>
        <w:t>Metil-diglikol</w:t>
      </w:r>
      <w:proofErr w:type="spellEnd"/>
    </w:p>
    <w:tbl>
      <w:tblPr>
        <w:tblStyle w:val="Rcsostblzat"/>
        <w:tblW w:w="0" w:type="auto"/>
        <w:tblLook w:val="04A0"/>
      </w:tblPr>
      <w:tblGrid>
        <w:gridCol w:w="6204"/>
        <w:gridCol w:w="1842"/>
        <w:gridCol w:w="1166"/>
      </w:tblGrid>
      <w:tr w:rsidR="00B33065" w:rsidTr="00BC1066">
        <w:tc>
          <w:tcPr>
            <w:tcW w:w="6204" w:type="dxa"/>
          </w:tcPr>
          <w:p w:rsidR="00B33065" w:rsidRPr="00775454" w:rsidRDefault="00B33065" w:rsidP="00BC1066">
            <w:r>
              <w:t>Dolgozó, Hosszas</w:t>
            </w:r>
            <w:r w:rsidRPr="00775454">
              <w:t xml:space="preserve"> érintkezés – rendszeri hatások, bőr</w:t>
            </w:r>
          </w:p>
        </w:tc>
        <w:tc>
          <w:tcPr>
            <w:tcW w:w="1842" w:type="dxa"/>
          </w:tcPr>
          <w:p w:rsidR="00B33065" w:rsidRPr="00775454" w:rsidRDefault="00B33065" w:rsidP="00BC1066">
            <w:r>
              <w:t>0,53</w:t>
            </w:r>
          </w:p>
        </w:tc>
        <w:tc>
          <w:tcPr>
            <w:tcW w:w="1166" w:type="dxa"/>
          </w:tcPr>
          <w:p w:rsidR="00B33065" w:rsidRPr="00775454" w:rsidRDefault="00B33065" w:rsidP="00BC1066">
            <w:r>
              <w:t>mg/kg/nap</w:t>
            </w:r>
          </w:p>
        </w:tc>
      </w:tr>
      <w:tr w:rsidR="00B33065" w:rsidTr="00BC1066">
        <w:tc>
          <w:tcPr>
            <w:tcW w:w="6204" w:type="dxa"/>
          </w:tcPr>
          <w:p w:rsidR="00B33065" w:rsidRPr="00775454" w:rsidRDefault="00B33065" w:rsidP="00BC1066">
            <w:r>
              <w:t>Dolgozó, Hosszas érintkezés – rendszeri hatások, belégzés</w:t>
            </w:r>
          </w:p>
        </w:tc>
        <w:tc>
          <w:tcPr>
            <w:tcW w:w="1842" w:type="dxa"/>
          </w:tcPr>
          <w:p w:rsidR="00B33065" w:rsidRPr="00775454" w:rsidRDefault="00B33065" w:rsidP="00BC1066">
            <w:r>
              <w:t>50,1</w:t>
            </w:r>
          </w:p>
        </w:tc>
        <w:tc>
          <w:tcPr>
            <w:tcW w:w="1166" w:type="dxa"/>
          </w:tcPr>
          <w:p w:rsidR="00B33065" w:rsidRPr="00775454" w:rsidRDefault="00B33065" w:rsidP="00BC1066">
            <w:r>
              <w:t>mg/m3</w:t>
            </w:r>
          </w:p>
        </w:tc>
      </w:tr>
      <w:tr w:rsidR="00B33065" w:rsidTr="00BC1066">
        <w:tc>
          <w:tcPr>
            <w:tcW w:w="6204" w:type="dxa"/>
          </w:tcPr>
          <w:p w:rsidR="00B33065" w:rsidRPr="00775454" w:rsidRDefault="00B33065" w:rsidP="00BC1066">
            <w:r>
              <w:t>Fogyasztó, Hosszas érintkezés – rendszeri hatások, bőr</w:t>
            </w:r>
          </w:p>
        </w:tc>
        <w:tc>
          <w:tcPr>
            <w:tcW w:w="1842" w:type="dxa"/>
          </w:tcPr>
          <w:p w:rsidR="00B33065" w:rsidRPr="00775454" w:rsidRDefault="00B33065" w:rsidP="00BC1066">
            <w:r>
              <w:t>0,27</w:t>
            </w:r>
          </w:p>
        </w:tc>
        <w:tc>
          <w:tcPr>
            <w:tcW w:w="1166" w:type="dxa"/>
          </w:tcPr>
          <w:p w:rsidR="00B33065" w:rsidRPr="00775454" w:rsidRDefault="00B33065" w:rsidP="00BC1066">
            <w:r>
              <w:t>mg/kg/nap</w:t>
            </w:r>
          </w:p>
        </w:tc>
      </w:tr>
      <w:tr w:rsidR="00B33065" w:rsidTr="00BC1066">
        <w:tc>
          <w:tcPr>
            <w:tcW w:w="6204" w:type="dxa"/>
          </w:tcPr>
          <w:p w:rsidR="00B33065" w:rsidRPr="00775454" w:rsidRDefault="00B33065" w:rsidP="00BC1066">
            <w:r>
              <w:t>Fogyasztó, Hosszas érintkezés – rendszeri hatások, belégzés</w:t>
            </w:r>
          </w:p>
        </w:tc>
        <w:tc>
          <w:tcPr>
            <w:tcW w:w="1842" w:type="dxa"/>
          </w:tcPr>
          <w:p w:rsidR="00B33065" w:rsidRPr="00775454" w:rsidRDefault="00B33065" w:rsidP="00BC1066">
            <w:r>
              <w:t>25</w:t>
            </w:r>
          </w:p>
        </w:tc>
        <w:tc>
          <w:tcPr>
            <w:tcW w:w="1166" w:type="dxa"/>
          </w:tcPr>
          <w:p w:rsidR="00B33065" w:rsidRPr="00775454" w:rsidRDefault="00B33065" w:rsidP="00BC1066">
            <w:r>
              <w:t>mg/m3</w:t>
            </w:r>
          </w:p>
        </w:tc>
      </w:tr>
      <w:tr w:rsidR="00B33065" w:rsidTr="00BC1066">
        <w:tc>
          <w:tcPr>
            <w:tcW w:w="6204" w:type="dxa"/>
          </w:tcPr>
          <w:p w:rsidR="00B33065" w:rsidRPr="00775454" w:rsidRDefault="00B33065" w:rsidP="00BC1066">
            <w:r>
              <w:t>Fogyasztó, Hosszas érintkezés – rendszeri hatások, szájon át</w:t>
            </w:r>
          </w:p>
        </w:tc>
        <w:tc>
          <w:tcPr>
            <w:tcW w:w="1842" w:type="dxa"/>
          </w:tcPr>
          <w:p w:rsidR="00B33065" w:rsidRPr="00775454" w:rsidRDefault="00B33065" w:rsidP="00BC1066">
            <w:r>
              <w:t>1,5</w:t>
            </w:r>
          </w:p>
        </w:tc>
        <w:tc>
          <w:tcPr>
            <w:tcW w:w="1166" w:type="dxa"/>
          </w:tcPr>
          <w:p w:rsidR="00B33065" w:rsidRPr="00775454" w:rsidRDefault="00B33065" w:rsidP="00BC1066">
            <w:r>
              <w:t>mg/kg/nap</w:t>
            </w:r>
          </w:p>
        </w:tc>
      </w:tr>
    </w:tbl>
    <w:p w:rsidR="00775454" w:rsidRDefault="00775454" w:rsidP="00587A56">
      <w:pPr>
        <w:rPr>
          <w:u w:val="single"/>
        </w:rPr>
      </w:pPr>
    </w:p>
    <w:p w:rsidR="00763B40" w:rsidRDefault="00763B40" w:rsidP="00587A56">
      <w:pPr>
        <w:rPr>
          <w:u w:val="single"/>
        </w:rPr>
      </w:pPr>
      <w:r>
        <w:rPr>
          <w:u w:val="single"/>
        </w:rPr>
        <w:t>8.1.3 Előreláthatóan hatástalan koncentrációk</w:t>
      </w:r>
    </w:p>
    <w:p w:rsidR="00763B40" w:rsidRPr="00BC1066" w:rsidRDefault="00BC1066" w:rsidP="00587A56">
      <w:pPr>
        <w:rPr>
          <w:b/>
        </w:rPr>
      </w:pPr>
      <w:proofErr w:type="spellStart"/>
      <w:r w:rsidRPr="00BC1066">
        <w:rPr>
          <w:b/>
        </w:rPr>
        <w:t>Butil-triglikol</w:t>
      </w:r>
      <w:proofErr w:type="spellEnd"/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BC1066" w:rsidTr="00BC1066">
        <w:tc>
          <w:tcPr>
            <w:tcW w:w="3070" w:type="dxa"/>
          </w:tcPr>
          <w:p w:rsidR="00BC1066" w:rsidRDefault="00BC1066" w:rsidP="00587A56">
            <w:r>
              <w:t>Víz (friss víz)</w:t>
            </w:r>
          </w:p>
        </w:tc>
        <w:tc>
          <w:tcPr>
            <w:tcW w:w="3071" w:type="dxa"/>
          </w:tcPr>
          <w:p w:rsidR="00BC1066" w:rsidRDefault="00BC1066" w:rsidP="00587A56">
            <w:r>
              <w:t>1,5</w:t>
            </w:r>
          </w:p>
        </w:tc>
        <w:tc>
          <w:tcPr>
            <w:tcW w:w="3071" w:type="dxa"/>
          </w:tcPr>
          <w:p w:rsidR="00BC1066" w:rsidRDefault="00BC1066" w:rsidP="00587A56">
            <w:r>
              <w:t>mg/L</w:t>
            </w:r>
          </w:p>
        </w:tc>
      </w:tr>
      <w:tr w:rsidR="00BC1066" w:rsidTr="00BC1066">
        <w:tc>
          <w:tcPr>
            <w:tcW w:w="3070" w:type="dxa"/>
          </w:tcPr>
          <w:p w:rsidR="00BC1066" w:rsidRDefault="00BC1066" w:rsidP="00587A56">
            <w:r>
              <w:t>Víz (tengeri víz)</w:t>
            </w:r>
          </w:p>
        </w:tc>
        <w:tc>
          <w:tcPr>
            <w:tcW w:w="3071" w:type="dxa"/>
          </w:tcPr>
          <w:p w:rsidR="00BC1066" w:rsidRDefault="00BC1066" w:rsidP="00587A56">
            <w:r>
              <w:t>0,25</w:t>
            </w:r>
          </w:p>
        </w:tc>
        <w:tc>
          <w:tcPr>
            <w:tcW w:w="3071" w:type="dxa"/>
          </w:tcPr>
          <w:p w:rsidR="00BC1066" w:rsidRDefault="00BC1066" w:rsidP="00587A56">
            <w:r>
              <w:t>mg/L</w:t>
            </w:r>
          </w:p>
        </w:tc>
      </w:tr>
      <w:tr w:rsidR="00BC1066" w:rsidTr="00BC1066">
        <w:tc>
          <w:tcPr>
            <w:tcW w:w="3070" w:type="dxa"/>
          </w:tcPr>
          <w:p w:rsidR="00BC1066" w:rsidRDefault="00BC1066" w:rsidP="00587A56">
            <w:r>
              <w:t>Víz (váltakozó kioldások)</w:t>
            </w:r>
          </w:p>
        </w:tc>
        <w:tc>
          <w:tcPr>
            <w:tcW w:w="3071" w:type="dxa"/>
          </w:tcPr>
          <w:p w:rsidR="00BC1066" w:rsidRDefault="00BC1066" w:rsidP="00587A56">
            <w:r>
              <w:t>5,0</w:t>
            </w:r>
          </w:p>
        </w:tc>
        <w:tc>
          <w:tcPr>
            <w:tcW w:w="3071" w:type="dxa"/>
          </w:tcPr>
          <w:p w:rsidR="00BC1066" w:rsidRDefault="00BC1066" w:rsidP="00587A56">
            <w:r>
              <w:t>mg/L</w:t>
            </w:r>
          </w:p>
        </w:tc>
      </w:tr>
      <w:tr w:rsidR="00BC1066" w:rsidTr="00BC1066">
        <w:tc>
          <w:tcPr>
            <w:tcW w:w="3070" w:type="dxa"/>
          </w:tcPr>
          <w:p w:rsidR="00BC1066" w:rsidRDefault="00BC1066" w:rsidP="00587A56">
            <w:r>
              <w:t>Csatorna Kezelési Berendezések</w:t>
            </w:r>
          </w:p>
        </w:tc>
        <w:tc>
          <w:tcPr>
            <w:tcW w:w="3071" w:type="dxa"/>
          </w:tcPr>
          <w:p w:rsidR="00BC1066" w:rsidRDefault="00BC1066" w:rsidP="00587A56">
            <w:r>
              <w:t>200</w:t>
            </w:r>
          </w:p>
        </w:tc>
        <w:tc>
          <w:tcPr>
            <w:tcW w:w="3071" w:type="dxa"/>
          </w:tcPr>
          <w:p w:rsidR="00BC1066" w:rsidRDefault="00BC1066" w:rsidP="00587A56">
            <w:r>
              <w:t>mg/L</w:t>
            </w:r>
          </w:p>
        </w:tc>
      </w:tr>
      <w:tr w:rsidR="00BC1066" w:rsidTr="00BC1066">
        <w:tc>
          <w:tcPr>
            <w:tcW w:w="3070" w:type="dxa"/>
          </w:tcPr>
          <w:p w:rsidR="00BC1066" w:rsidRDefault="00BC1066" w:rsidP="00587A56">
            <w:r>
              <w:t>Üledék (friss víz)</w:t>
            </w:r>
          </w:p>
        </w:tc>
        <w:tc>
          <w:tcPr>
            <w:tcW w:w="3071" w:type="dxa"/>
          </w:tcPr>
          <w:p w:rsidR="00BC1066" w:rsidRDefault="00B20C7E" w:rsidP="00587A56">
            <w:r>
              <w:t>5,77</w:t>
            </w:r>
          </w:p>
        </w:tc>
        <w:tc>
          <w:tcPr>
            <w:tcW w:w="3071" w:type="dxa"/>
          </w:tcPr>
          <w:p w:rsidR="00BC1066" w:rsidRDefault="00B20C7E" w:rsidP="00587A56">
            <w:r>
              <w:t xml:space="preserve">mg/kg/üledék </w:t>
            </w:r>
            <w:proofErr w:type="spellStart"/>
            <w:r>
              <w:t>dw</w:t>
            </w:r>
            <w:proofErr w:type="spellEnd"/>
          </w:p>
        </w:tc>
      </w:tr>
      <w:tr w:rsidR="00BC1066" w:rsidTr="00BC1066">
        <w:tc>
          <w:tcPr>
            <w:tcW w:w="3070" w:type="dxa"/>
          </w:tcPr>
          <w:p w:rsidR="00BC1066" w:rsidRDefault="00B20C7E" w:rsidP="00587A56">
            <w:r>
              <w:t>Üledék (tengervíz)</w:t>
            </w:r>
          </w:p>
        </w:tc>
        <w:tc>
          <w:tcPr>
            <w:tcW w:w="3071" w:type="dxa"/>
          </w:tcPr>
          <w:p w:rsidR="00BC1066" w:rsidRDefault="00B20C7E" w:rsidP="00587A56">
            <w:r>
              <w:t>0,13</w:t>
            </w:r>
          </w:p>
        </w:tc>
        <w:tc>
          <w:tcPr>
            <w:tcW w:w="3071" w:type="dxa"/>
          </w:tcPr>
          <w:p w:rsidR="00BC1066" w:rsidRDefault="00B20C7E" w:rsidP="00587A56">
            <w:r>
              <w:t xml:space="preserve">mg/kg/üledék </w:t>
            </w:r>
            <w:proofErr w:type="spellStart"/>
            <w:r>
              <w:t>dw</w:t>
            </w:r>
            <w:proofErr w:type="spellEnd"/>
          </w:p>
        </w:tc>
      </w:tr>
      <w:tr w:rsidR="00BC1066" w:rsidTr="00BC1066">
        <w:tc>
          <w:tcPr>
            <w:tcW w:w="3070" w:type="dxa"/>
          </w:tcPr>
          <w:p w:rsidR="00BC1066" w:rsidRDefault="00B20C7E" w:rsidP="00587A56">
            <w:r>
              <w:t>Talaj</w:t>
            </w:r>
          </w:p>
        </w:tc>
        <w:tc>
          <w:tcPr>
            <w:tcW w:w="3071" w:type="dxa"/>
          </w:tcPr>
          <w:p w:rsidR="00BC1066" w:rsidRDefault="00B20C7E" w:rsidP="00587A56">
            <w:r>
              <w:t>0,45</w:t>
            </w:r>
          </w:p>
        </w:tc>
        <w:tc>
          <w:tcPr>
            <w:tcW w:w="3071" w:type="dxa"/>
          </w:tcPr>
          <w:p w:rsidR="00BC1066" w:rsidRDefault="00B20C7E" w:rsidP="00587A56">
            <w:r>
              <w:t xml:space="preserve">mg/kg/talaj </w:t>
            </w:r>
            <w:proofErr w:type="spellStart"/>
            <w:r>
              <w:t>dw</w:t>
            </w:r>
            <w:proofErr w:type="spellEnd"/>
          </w:p>
        </w:tc>
      </w:tr>
      <w:tr w:rsidR="00BC1066" w:rsidTr="00BC1066">
        <w:tc>
          <w:tcPr>
            <w:tcW w:w="3070" w:type="dxa"/>
          </w:tcPr>
          <w:p w:rsidR="00BC1066" w:rsidRDefault="00B20C7E" w:rsidP="00587A56">
            <w:r>
              <w:t>Szájon át</w:t>
            </w:r>
          </w:p>
        </w:tc>
        <w:tc>
          <w:tcPr>
            <w:tcW w:w="3071" w:type="dxa"/>
          </w:tcPr>
          <w:p w:rsidR="00BC1066" w:rsidRDefault="00B20C7E" w:rsidP="00587A56">
            <w:r>
              <w:t>111</w:t>
            </w:r>
          </w:p>
        </w:tc>
        <w:tc>
          <w:tcPr>
            <w:tcW w:w="3071" w:type="dxa"/>
          </w:tcPr>
          <w:p w:rsidR="00BC1066" w:rsidRDefault="00B20C7E" w:rsidP="00587A56">
            <w:r>
              <w:t>mg/kg/étel</w:t>
            </w:r>
          </w:p>
        </w:tc>
      </w:tr>
    </w:tbl>
    <w:p w:rsidR="00B20C7E" w:rsidRPr="00BC1066" w:rsidRDefault="00B20C7E" w:rsidP="00B20C7E">
      <w:pPr>
        <w:rPr>
          <w:b/>
        </w:rPr>
      </w:pPr>
      <w:proofErr w:type="spellStart"/>
      <w:r>
        <w:rPr>
          <w:b/>
        </w:rPr>
        <w:t>Butil-d</w:t>
      </w:r>
      <w:r w:rsidRPr="00BC1066">
        <w:rPr>
          <w:b/>
        </w:rPr>
        <w:t>iglikol</w:t>
      </w:r>
      <w:proofErr w:type="spellEnd"/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B20C7E" w:rsidTr="00253612">
        <w:tc>
          <w:tcPr>
            <w:tcW w:w="3070" w:type="dxa"/>
          </w:tcPr>
          <w:p w:rsidR="00B20C7E" w:rsidRDefault="00B20C7E" w:rsidP="00253612">
            <w:r>
              <w:t>Víz (friss víz)</w:t>
            </w:r>
          </w:p>
        </w:tc>
        <w:tc>
          <w:tcPr>
            <w:tcW w:w="3071" w:type="dxa"/>
          </w:tcPr>
          <w:p w:rsidR="00B20C7E" w:rsidRDefault="00B20C7E" w:rsidP="00253612">
            <w:r>
              <w:t>1,0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Víz (tengeri víz)</w:t>
            </w:r>
          </w:p>
        </w:tc>
        <w:tc>
          <w:tcPr>
            <w:tcW w:w="3071" w:type="dxa"/>
          </w:tcPr>
          <w:p w:rsidR="00B20C7E" w:rsidRDefault="00B20C7E" w:rsidP="00253612">
            <w:r>
              <w:t>0,1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Víz (váltakozó kioldások)</w:t>
            </w:r>
          </w:p>
        </w:tc>
        <w:tc>
          <w:tcPr>
            <w:tcW w:w="3071" w:type="dxa"/>
          </w:tcPr>
          <w:p w:rsidR="00B20C7E" w:rsidRDefault="00B20C7E" w:rsidP="00253612">
            <w:r>
              <w:t>3,9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Csatorna Kezelési Berendezések</w:t>
            </w:r>
          </w:p>
        </w:tc>
        <w:tc>
          <w:tcPr>
            <w:tcW w:w="3071" w:type="dxa"/>
          </w:tcPr>
          <w:p w:rsidR="00B20C7E" w:rsidRDefault="00B20C7E" w:rsidP="00253612">
            <w:r>
              <w:t>200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Üledék (friss víz)</w:t>
            </w:r>
          </w:p>
        </w:tc>
        <w:tc>
          <w:tcPr>
            <w:tcW w:w="3071" w:type="dxa"/>
          </w:tcPr>
          <w:p w:rsidR="00B20C7E" w:rsidRDefault="00B20C7E" w:rsidP="00253612">
            <w:r>
              <w:t>4,00</w:t>
            </w:r>
          </w:p>
        </w:tc>
        <w:tc>
          <w:tcPr>
            <w:tcW w:w="3071" w:type="dxa"/>
          </w:tcPr>
          <w:p w:rsidR="00B20C7E" w:rsidRDefault="00B20C7E" w:rsidP="00253612">
            <w:r>
              <w:t xml:space="preserve">mg/kg/üledék </w:t>
            </w:r>
            <w:proofErr w:type="spellStart"/>
            <w:r>
              <w:t>dw</w:t>
            </w:r>
            <w:proofErr w:type="spellEnd"/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Üledék (tengervíz)</w:t>
            </w:r>
          </w:p>
        </w:tc>
        <w:tc>
          <w:tcPr>
            <w:tcW w:w="3071" w:type="dxa"/>
          </w:tcPr>
          <w:p w:rsidR="00B20C7E" w:rsidRDefault="00B20C7E" w:rsidP="00253612">
            <w:r>
              <w:t>0,4</w:t>
            </w:r>
          </w:p>
        </w:tc>
        <w:tc>
          <w:tcPr>
            <w:tcW w:w="3071" w:type="dxa"/>
          </w:tcPr>
          <w:p w:rsidR="00B20C7E" w:rsidRDefault="00B20C7E" w:rsidP="00253612">
            <w:r>
              <w:t xml:space="preserve">mg/kg/üledék </w:t>
            </w:r>
            <w:proofErr w:type="spellStart"/>
            <w:r>
              <w:t>dw</w:t>
            </w:r>
            <w:proofErr w:type="spellEnd"/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Talaj</w:t>
            </w:r>
          </w:p>
        </w:tc>
        <w:tc>
          <w:tcPr>
            <w:tcW w:w="3071" w:type="dxa"/>
          </w:tcPr>
          <w:p w:rsidR="00B20C7E" w:rsidRDefault="00B20C7E" w:rsidP="00253612">
            <w:r>
              <w:t>0,4</w:t>
            </w:r>
          </w:p>
        </w:tc>
        <w:tc>
          <w:tcPr>
            <w:tcW w:w="3071" w:type="dxa"/>
          </w:tcPr>
          <w:p w:rsidR="00B20C7E" w:rsidRDefault="00B20C7E" w:rsidP="00253612">
            <w:r>
              <w:t xml:space="preserve">mg/kg/talaj </w:t>
            </w:r>
            <w:proofErr w:type="spellStart"/>
            <w:r>
              <w:t>dw</w:t>
            </w:r>
            <w:proofErr w:type="spellEnd"/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Szájon át</w:t>
            </w:r>
          </w:p>
        </w:tc>
        <w:tc>
          <w:tcPr>
            <w:tcW w:w="3071" w:type="dxa"/>
          </w:tcPr>
          <w:p w:rsidR="00B20C7E" w:rsidRDefault="00B20C7E" w:rsidP="00253612">
            <w:r>
              <w:t>56</w:t>
            </w:r>
          </w:p>
        </w:tc>
        <w:tc>
          <w:tcPr>
            <w:tcW w:w="3071" w:type="dxa"/>
          </w:tcPr>
          <w:p w:rsidR="00B20C7E" w:rsidRDefault="00B20C7E" w:rsidP="00253612">
            <w:r>
              <w:t>mg/kg/étel</w:t>
            </w:r>
          </w:p>
        </w:tc>
      </w:tr>
    </w:tbl>
    <w:p w:rsidR="00B20C7E" w:rsidRPr="00BC1066" w:rsidRDefault="00B20C7E" w:rsidP="00B20C7E">
      <w:pPr>
        <w:rPr>
          <w:b/>
        </w:rPr>
      </w:pPr>
      <w:proofErr w:type="spellStart"/>
      <w:r>
        <w:rPr>
          <w:b/>
        </w:rPr>
        <w:lastRenderedPageBreak/>
        <w:t>Dietilén-glikol</w:t>
      </w:r>
      <w:proofErr w:type="spellEnd"/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B20C7E" w:rsidTr="00253612">
        <w:tc>
          <w:tcPr>
            <w:tcW w:w="3070" w:type="dxa"/>
          </w:tcPr>
          <w:p w:rsidR="00B20C7E" w:rsidRDefault="00B20C7E" w:rsidP="00253612">
            <w:r>
              <w:t>Víz (friss víz)</w:t>
            </w:r>
          </w:p>
        </w:tc>
        <w:tc>
          <w:tcPr>
            <w:tcW w:w="3071" w:type="dxa"/>
          </w:tcPr>
          <w:p w:rsidR="00B20C7E" w:rsidRDefault="00B20C7E" w:rsidP="00253612">
            <w:r>
              <w:t>10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Víz (tengeri víz)</w:t>
            </w:r>
          </w:p>
        </w:tc>
        <w:tc>
          <w:tcPr>
            <w:tcW w:w="3071" w:type="dxa"/>
          </w:tcPr>
          <w:p w:rsidR="00B20C7E" w:rsidRDefault="00B20C7E" w:rsidP="00253612">
            <w:r>
              <w:t>1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Víz (váltakozó kioldások)</w:t>
            </w:r>
          </w:p>
        </w:tc>
        <w:tc>
          <w:tcPr>
            <w:tcW w:w="3071" w:type="dxa"/>
          </w:tcPr>
          <w:p w:rsidR="00B20C7E" w:rsidRDefault="00B20C7E" w:rsidP="00253612">
            <w:r>
              <w:t>10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Csatorna Kezelési Berendezések</w:t>
            </w:r>
          </w:p>
        </w:tc>
        <w:tc>
          <w:tcPr>
            <w:tcW w:w="3071" w:type="dxa"/>
          </w:tcPr>
          <w:p w:rsidR="00B20C7E" w:rsidRDefault="00B20C7E" w:rsidP="00253612">
            <w:r>
              <w:t>199,5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Üledék (friss víz)</w:t>
            </w:r>
          </w:p>
        </w:tc>
        <w:tc>
          <w:tcPr>
            <w:tcW w:w="3071" w:type="dxa"/>
          </w:tcPr>
          <w:p w:rsidR="00B20C7E" w:rsidRDefault="00B20C7E" w:rsidP="00253612">
            <w:r>
              <w:t>20,9</w:t>
            </w:r>
          </w:p>
        </w:tc>
        <w:tc>
          <w:tcPr>
            <w:tcW w:w="3071" w:type="dxa"/>
          </w:tcPr>
          <w:p w:rsidR="00B20C7E" w:rsidRDefault="00B20C7E" w:rsidP="00253612">
            <w:r>
              <w:t xml:space="preserve">mg/kg/üledék </w:t>
            </w:r>
            <w:proofErr w:type="spellStart"/>
            <w:r>
              <w:t>dw</w:t>
            </w:r>
            <w:proofErr w:type="spellEnd"/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Talaj</w:t>
            </w:r>
          </w:p>
        </w:tc>
        <w:tc>
          <w:tcPr>
            <w:tcW w:w="3071" w:type="dxa"/>
          </w:tcPr>
          <w:p w:rsidR="00B20C7E" w:rsidRDefault="00B20C7E" w:rsidP="00253612">
            <w:r>
              <w:t>1,53</w:t>
            </w:r>
          </w:p>
        </w:tc>
        <w:tc>
          <w:tcPr>
            <w:tcW w:w="3071" w:type="dxa"/>
          </w:tcPr>
          <w:p w:rsidR="00B20C7E" w:rsidRDefault="00B20C7E" w:rsidP="00253612">
            <w:r>
              <w:t xml:space="preserve">mg/kg/talaj </w:t>
            </w:r>
            <w:proofErr w:type="spellStart"/>
            <w:r>
              <w:t>dw</w:t>
            </w:r>
            <w:proofErr w:type="spellEnd"/>
          </w:p>
        </w:tc>
      </w:tr>
    </w:tbl>
    <w:p w:rsidR="00B20C7E" w:rsidRPr="00BC1066" w:rsidRDefault="00B20C7E" w:rsidP="00B20C7E">
      <w:pPr>
        <w:rPr>
          <w:b/>
        </w:rPr>
      </w:pPr>
      <w:proofErr w:type="spellStart"/>
      <w:r>
        <w:rPr>
          <w:b/>
        </w:rPr>
        <w:t>Metil-diglikol</w:t>
      </w:r>
      <w:proofErr w:type="spellEnd"/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B20C7E" w:rsidTr="00253612">
        <w:tc>
          <w:tcPr>
            <w:tcW w:w="3070" w:type="dxa"/>
          </w:tcPr>
          <w:p w:rsidR="00B20C7E" w:rsidRDefault="00B20C7E" w:rsidP="00253612">
            <w:r>
              <w:t>Víz (friss víz)</w:t>
            </w:r>
          </w:p>
        </w:tc>
        <w:tc>
          <w:tcPr>
            <w:tcW w:w="3071" w:type="dxa"/>
          </w:tcPr>
          <w:p w:rsidR="00B20C7E" w:rsidRDefault="00B20C7E" w:rsidP="00253612">
            <w:r>
              <w:t>12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Víz (tengeri víz)</w:t>
            </w:r>
          </w:p>
        </w:tc>
        <w:tc>
          <w:tcPr>
            <w:tcW w:w="3071" w:type="dxa"/>
          </w:tcPr>
          <w:p w:rsidR="00B20C7E" w:rsidRDefault="00B20C7E" w:rsidP="00253612">
            <w:r>
              <w:t>1,2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Víz (váltakozó kioldások)</w:t>
            </w:r>
          </w:p>
        </w:tc>
        <w:tc>
          <w:tcPr>
            <w:tcW w:w="3071" w:type="dxa"/>
          </w:tcPr>
          <w:p w:rsidR="00B20C7E" w:rsidRDefault="00B20C7E" w:rsidP="00253612">
            <w:r>
              <w:t>12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Csatorna Kezelési Berendezések</w:t>
            </w:r>
          </w:p>
        </w:tc>
        <w:tc>
          <w:tcPr>
            <w:tcW w:w="3071" w:type="dxa"/>
          </w:tcPr>
          <w:p w:rsidR="00B20C7E" w:rsidRDefault="00B20C7E" w:rsidP="00253612">
            <w:r>
              <w:t>10000</w:t>
            </w:r>
          </w:p>
        </w:tc>
        <w:tc>
          <w:tcPr>
            <w:tcW w:w="3071" w:type="dxa"/>
          </w:tcPr>
          <w:p w:rsidR="00B20C7E" w:rsidRDefault="00B20C7E" w:rsidP="00253612">
            <w:r>
              <w:t>mg/L</w:t>
            </w:r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Üledék (friss víz)</w:t>
            </w:r>
          </w:p>
        </w:tc>
        <w:tc>
          <w:tcPr>
            <w:tcW w:w="3071" w:type="dxa"/>
          </w:tcPr>
          <w:p w:rsidR="00B20C7E" w:rsidRDefault="00B20C7E" w:rsidP="00253612">
            <w:r>
              <w:t>44,4</w:t>
            </w:r>
          </w:p>
        </w:tc>
        <w:tc>
          <w:tcPr>
            <w:tcW w:w="3071" w:type="dxa"/>
          </w:tcPr>
          <w:p w:rsidR="00B20C7E" w:rsidRDefault="00B20C7E" w:rsidP="00253612">
            <w:r>
              <w:t xml:space="preserve">mg/kg/üledék </w:t>
            </w:r>
            <w:proofErr w:type="spellStart"/>
            <w:r>
              <w:t>dw</w:t>
            </w:r>
            <w:proofErr w:type="spellEnd"/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Üledék (tengervíz)</w:t>
            </w:r>
          </w:p>
        </w:tc>
        <w:tc>
          <w:tcPr>
            <w:tcW w:w="3071" w:type="dxa"/>
          </w:tcPr>
          <w:p w:rsidR="00B20C7E" w:rsidRDefault="00B20C7E" w:rsidP="00253612">
            <w:r>
              <w:t>0,44</w:t>
            </w:r>
          </w:p>
        </w:tc>
        <w:tc>
          <w:tcPr>
            <w:tcW w:w="3071" w:type="dxa"/>
          </w:tcPr>
          <w:p w:rsidR="00B20C7E" w:rsidRDefault="00B20C7E" w:rsidP="00253612">
            <w:r>
              <w:t xml:space="preserve">mg/kg/üledék </w:t>
            </w:r>
            <w:proofErr w:type="spellStart"/>
            <w:r>
              <w:t>dw</w:t>
            </w:r>
            <w:proofErr w:type="spellEnd"/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Talaj</w:t>
            </w:r>
          </w:p>
        </w:tc>
        <w:tc>
          <w:tcPr>
            <w:tcW w:w="3071" w:type="dxa"/>
          </w:tcPr>
          <w:p w:rsidR="00B20C7E" w:rsidRDefault="00B20C7E" w:rsidP="00253612">
            <w:r>
              <w:t>2,44</w:t>
            </w:r>
          </w:p>
        </w:tc>
        <w:tc>
          <w:tcPr>
            <w:tcW w:w="3071" w:type="dxa"/>
          </w:tcPr>
          <w:p w:rsidR="00B20C7E" w:rsidRDefault="00B20C7E" w:rsidP="00253612">
            <w:r>
              <w:t xml:space="preserve">mg/kg/talaj </w:t>
            </w:r>
            <w:proofErr w:type="spellStart"/>
            <w:r>
              <w:t>dw</w:t>
            </w:r>
            <w:proofErr w:type="spellEnd"/>
          </w:p>
        </w:tc>
      </w:tr>
      <w:tr w:rsidR="00B20C7E" w:rsidTr="00253612">
        <w:tc>
          <w:tcPr>
            <w:tcW w:w="3070" w:type="dxa"/>
          </w:tcPr>
          <w:p w:rsidR="00B20C7E" w:rsidRDefault="00B20C7E" w:rsidP="00253612">
            <w:r>
              <w:t>Szájon át</w:t>
            </w:r>
          </w:p>
        </w:tc>
        <w:tc>
          <w:tcPr>
            <w:tcW w:w="3071" w:type="dxa"/>
          </w:tcPr>
          <w:p w:rsidR="00B20C7E" w:rsidRDefault="00FB002C" w:rsidP="00253612">
            <w:r>
              <w:t>0,9</w:t>
            </w:r>
          </w:p>
        </w:tc>
        <w:tc>
          <w:tcPr>
            <w:tcW w:w="3071" w:type="dxa"/>
          </w:tcPr>
          <w:p w:rsidR="00B20C7E" w:rsidRDefault="00B20C7E" w:rsidP="00253612">
            <w:r>
              <w:t>mg/kg/étel</w:t>
            </w:r>
          </w:p>
        </w:tc>
      </w:tr>
    </w:tbl>
    <w:p w:rsidR="00BC1066" w:rsidRDefault="00593077" w:rsidP="00587A56">
      <w:pPr>
        <w:rPr>
          <w:u w:val="single"/>
        </w:rPr>
      </w:pPr>
      <w:r w:rsidRPr="00593077">
        <w:rPr>
          <w:u w:val="single"/>
        </w:rPr>
        <w:t>8.1.4 Javasolt ellenőrzési technikák</w:t>
      </w:r>
    </w:p>
    <w:p w:rsidR="00593077" w:rsidRPr="00593077" w:rsidRDefault="00593077" w:rsidP="00587A56">
      <w:r>
        <w:t xml:space="preserve">Személyes levegő </w:t>
      </w:r>
      <w:proofErr w:type="spellStart"/>
      <w:r>
        <w:t>ellenárzés</w:t>
      </w:r>
      <w:proofErr w:type="spellEnd"/>
      <w:r>
        <w:t>. Egy alkalmazható alap a BS EN 14042.</w:t>
      </w:r>
    </w:p>
    <w:p w:rsidR="00DE5EA3" w:rsidRDefault="00DE5EA3" w:rsidP="00587A56"/>
    <w:tbl>
      <w:tblPr>
        <w:tblW w:w="100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9506"/>
      </w:tblGrid>
      <w:tr w:rsidR="00DE5EA3" w:rsidTr="00587A56">
        <w:trPr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8.2. </w:t>
            </w:r>
          </w:p>
        </w:tc>
        <w:tc>
          <w:tcPr>
            <w:tcW w:w="9506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Az expozíció ellenőrzése </w:t>
            </w:r>
          </w:p>
        </w:tc>
      </w:tr>
      <w:tr w:rsidR="00DE5EA3" w:rsidTr="00587A56">
        <w:trPr>
          <w:trHeight w:val="497"/>
        </w:trPr>
        <w:tc>
          <w:tcPr>
            <w:tcW w:w="10040" w:type="dxa"/>
            <w:gridSpan w:val="2"/>
          </w:tcPr>
          <w:p w:rsidR="00474C51" w:rsidRPr="00474C51" w:rsidRDefault="00474C51" w:rsidP="00587A56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474C51">
              <w:rPr>
                <w:sz w:val="18"/>
                <w:szCs w:val="18"/>
                <w:u w:val="single"/>
              </w:rPr>
              <w:t>8.2.1 Általános</w:t>
            </w:r>
          </w:p>
          <w:p w:rsidR="00474C51" w:rsidRDefault="00DE5EA3" w:rsidP="00474C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munkavédelmi és egészségügyi előírásoknak megfelelően kell eljárni.</w:t>
            </w:r>
          </w:p>
          <w:p w:rsidR="00474C51" w:rsidRDefault="00474C51" w:rsidP="00474C51">
            <w:pPr>
              <w:pStyle w:val="Default"/>
              <w:tabs>
                <w:tab w:val="left" w:pos="4048"/>
              </w:tabs>
              <w:jc w:val="both"/>
              <w:rPr>
                <w:sz w:val="18"/>
                <w:szCs w:val="18"/>
                <w:u w:val="single"/>
              </w:rPr>
            </w:pPr>
            <w:r w:rsidRPr="00474C51">
              <w:rPr>
                <w:sz w:val="18"/>
                <w:szCs w:val="18"/>
                <w:u w:val="single"/>
              </w:rPr>
              <w:t>8.2.2 Alkalmas mérnöki ellenőrzések</w:t>
            </w:r>
          </w:p>
          <w:p w:rsidR="00474C51" w:rsidRDefault="00474C51" w:rsidP="00474C51">
            <w:pPr>
              <w:pStyle w:val="Default"/>
              <w:tabs>
                <w:tab w:val="left" w:pos="404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 szükséges normál körülmények között. Ha a folyadékot hevítjük vagy porlasztjuk, akkor javasoljuk a helyi levegő elszívását.</w:t>
            </w:r>
          </w:p>
          <w:p w:rsidR="00474C51" w:rsidRDefault="00474C51" w:rsidP="00474C51">
            <w:pPr>
              <w:pStyle w:val="Default"/>
              <w:tabs>
                <w:tab w:val="left" w:pos="4048"/>
              </w:tabs>
              <w:jc w:val="both"/>
              <w:rPr>
                <w:sz w:val="18"/>
                <w:szCs w:val="18"/>
                <w:u w:val="single"/>
              </w:rPr>
            </w:pPr>
            <w:r w:rsidRPr="00784A7B">
              <w:rPr>
                <w:sz w:val="18"/>
                <w:szCs w:val="18"/>
                <w:u w:val="single"/>
              </w:rPr>
              <w:t>8.2.3</w:t>
            </w:r>
            <w:r w:rsidR="00784A7B" w:rsidRPr="00784A7B">
              <w:rPr>
                <w:sz w:val="18"/>
                <w:szCs w:val="18"/>
                <w:u w:val="single"/>
              </w:rPr>
              <w:t xml:space="preserve"> Önálló védelmi ruházat/ személyes védelmi felszerelés</w:t>
            </w:r>
          </w:p>
          <w:p w:rsidR="00784A7B" w:rsidRDefault="00784A7B" w:rsidP="00784A7B">
            <w:pPr>
              <w:pStyle w:val="Default"/>
              <w:jc w:val="both"/>
              <w:rPr>
                <w:sz w:val="18"/>
                <w:szCs w:val="18"/>
              </w:rPr>
            </w:pPr>
            <w:r w:rsidRPr="00537629">
              <w:rPr>
                <w:b/>
                <w:sz w:val="18"/>
                <w:szCs w:val="18"/>
              </w:rPr>
              <w:t>Légutak védelme</w:t>
            </w:r>
            <w:r>
              <w:rPr>
                <w:sz w:val="18"/>
                <w:szCs w:val="18"/>
              </w:rPr>
              <w:t xml:space="preserve">: </w:t>
            </w:r>
          </w:p>
          <w:p w:rsidR="00784A7B" w:rsidRPr="00784A7B" w:rsidRDefault="00784A7B" w:rsidP="00784A7B">
            <w:pPr>
              <w:pStyle w:val="Default"/>
              <w:tabs>
                <w:tab w:val="left" w:pos="404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Normál körülmények között nem szükséges. Szerves gőz elnyelésére alkalmas betéttel rendelkező légzőkészüléket / maszkot kell viselni, ahol a terméket hevítik vagy porlasztják és a mérnöki ellenőrzési értékek nem alkalmazhatók.</w:t>
            </w:r>
          </w:p>
          <w:p w:rsidR="00DE5EA3" w:rsidRDefault="00DE5EA3" w:rsidP="00474C5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E5EA3" w:rsidTr="00587A56">
        <w:trPr>
          <w:trHeight w:val="957"/>
        </w:trPr>
        <w:tc>
          <w:tcPr>
            <w:tcW w:w="10040" w:type="dxa"/>
            <w:gridSpan w:val="2"/>
          </w:tcPr>
          <w:p w:rsidR="00DE5EA3" w:rsidRPr="00537629" w:rsidRDefault="00784A7B" w:rsidP="00587A56">
            <w:pPr>
              <w:pStyle w:val="Defaul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Kéz</w:t>
            </w:r>
            <w:r w:rsidR="00DE5EA3" w:rsidRPr="00537629">
              <w:rPr>
                <w:b/>
                <w:sz w:val="18"/>
                <w:szCs w:val="18"/>
              </w:rPr>
              <w:t xml:space="preserve"> védelme: </w:t>
            </w:r>
          </w:p>
          <w:p w:rsidR="00784A7B" w:rsidRDefault="00DE5EA3" w:rsidP="00784A7B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Használjunk </w:t>
            </w:r>
            <w:r w:rsidR="00784A7B">
              <w:rPr>
                <w:sz w:val="18"/>
                <w:szCs w:val="18"/>
              </w:rPr>
              <w:t xml:space="preserve">kémiai anyagoknak ellenálló </w:t>
            </w:r>
            <w:r>
              <w:rPr>
                <w:sz w:val="18"/>
                <w:szCs w:val="18"/>
              </w:rPr>
              <w:t>védőkesztyűt</w:t>
            </w:r>
            <w:r w:rsidR="00784A7B">
              <w:rPr>
                <w:sz w:val="18"/>
                <w:szCs w:val="18"/>
              </w:rPr>
              <w:t xml:space="preserve"> (EN 374), hogy elkerülje a hosszú távú vagy ismétlődő érintkez</w:t>
            </w:r>
            <w:r w:rsidR="00784A7B">
              <w:rPr>
                <w:sz w:val="18"/>
                <w:szCs w:val="18"/>
              </w:rPr>
              <w:t>é</w:t>
            </w:r>
            <w:r w:rsidR="00784A7B">
              <w:rPr>
                <w:sz w:val="18"/>
                <w:szCs w:val="18"/>
              </w:rPr>
              <w:t>seket</w:t>
            </w:r>
            <w:r>
              <w:rPr>
                <w:sz w:val="18"/>
                <w:szCs w:val="18"/>
              </w:rPr>
              <w:t>.</w:t>
            </w:r>
            <w:r w:rsidR="00784A7B">
              <w:rPr>
                <w:sz w:val="18"/>
                <w:szCs w:val="18"/>
              </w:rPr>
              <w:t xml:space="preserve"> </w:t>
            </w:r>
            <w:proofErr w:type="spellStart"/>
            <w:r w:rsidR="00784A7B">
              <w:rPr>
                <w:sz w:val="18"/>
                <w:szCs w:val="18"/>
              </w:rPr>
              <w:t>Butil</w:t>
            </w:r>
            <w:proofErr w:type="spellEnd"/>
            <w:r w:rsidR="00784A7B">
              <w:rPr>
                <w:sz w:val="18"/>
                <w:szCs w:val="18"/>
              </w:rPr>
              <w:t xml:space="preserve"> gumi, Természetes gumi és PVC alkalmas anyagoknak tekinthető. </w:t>
            </w:r>
            <w:r w:rsidR="00784A7B">
              <w:rPr>
                <w:sz w:val="16"/>
                <w:szCs w:val="16"/>
              </w:rPr>
              <w:t>A sokféle kesztyű miatt, a kesztyűanyag elszak</w:t>
            </w:r>
            <w:r w:rsidR="00784A7B">
              <w:rPr>
                <w:sz w:val="16"/>
                <w:szCs w:val="16"/>
              </w:rPr>
              <w:t>a</w:t>
            </w:r>
            <w:r w:rsidR="00784A7B">
              <w:rPr>
                <w:sz w:val="16"/>
                <w:szCs w:val="16"/>
              </w:rPr>
              <w:t>dásának pontos idejét a védőkesztyű gyártójától kell megérdeklődni. Hosszas érintkezés esetén a kesztyűnek 6-os osztályú védelemmel kell rendelkeznie (</w:t>
            </w:r>
            <w:r w:rsidR="00836CF9">
              <w:rPr>
                <w:sz w:val="16"/>
                <w:szCs w:val="16"/>
              </w:rPr>
              <w:t xml:space="preserve">az elszakadási </w:t>
            </w:r>
            <w:proofErr w:type="gramStart"/>
            <w:r w:rsidR="00836CF9">
              <w:rPr>
                <w:sz w:val="16"/>
                <w:szCs w:val="16"/>
              </w:rPr>
              <w:t>idő &gt;480</w:t>
            </w:r>
            <w:proofErr w:type="gramEnd"/>
            <w:r w:rsidR="00836CF9">
              <w:rPr>
                <w:sz w:val="16"/>
                <w:szCs w:val="16"/>
              </w:rPr>
              <w:t xml:space="preserve"> percnél).</w:t>
            </w:r>
          </w:p>
          <w:p w:rsidR="00DE5EA3" w:rsidRPr="00537629" w:rsidRDefault="00DE5EA3" w:rsidP="00587A5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537629">
              <w:rPr>
                <w:b/>
                <w:sz w:val="18"/>
                <w:szCs w:val="18"/>
              </w:rPr>
              <w:t xml:space="preserve">Szem védelme: </w:t>
            </w:r>
          </w:p>
          <w:p w:rsidR="00DE5EA3" w:rsidRDefault="00836CF9" w:rsidP="00587A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Viseljünk jól tapadó védőszemüveget (EN 166) vagy egy arcmaszkot, ha fennáll a fröccsenés kockázata (akril, PVC</w:t>
            </w:r>
            <w:r w:rsidR="00367751">
              <w:rPr>
                <w:sz w:val="18"/>
                <w:szCs w:val="18"/>
              </w:rPr>
              <w:t>-t v</w:t>
            </w:r>
            <w:r w:rsidR="00367751">
              <w:rPr>
                <w:sz w:val="18"/>
                <w:szCs w:val="18"/>
              </w:rPr>
              <w:t>á</w:t>
            </w:r>
            <w:r w:rsidR="00367751">
              <w:rPr>
                <w:sz w:val="18"/>
                <w:szCs w:val="18"/>
              </w:rPr>
              <w:t>lasszunk a polikarbonátokkal szemben, amit megtámadhatna a fékfolyadék). A szemfürdőt biztosítani kell azokon a hely</w:t>
            </w:r>
            <w:r w:rsidR="00367751">
              <w:rPr>
                <w:sz w:val="18"/>
                <w:szCs w:val="18"/>
              </w:rPr>
              <w:t>e</w:t>
            </w:r>
            <w:r w:rsidR="00367751">
              <w:rPr>
                <w:sz w:val="18"/>
                <w:szCs w:val="18"/>
              </w:rPr>
              <w:t>ken, ahol baleseti érintkezés történhet.</w:t>
            </w:r>
          </w:p>
          <w:p w:rsidR="00367751" w:rsidRPr="00367751" w:rsidRDefault="00367751" w:rsidP="00587A5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367751">
              <w:rPr>
                <w:b/>
                <w:sz w:val="18"/>
                <w:szCs w:val="18"/>
              </w:rPr>
              <w:t>Bőr védelme:</w:t>
            </w:r>
          </w:p>
        </w:tc>
      </w:tr>
      <w:tr w:rsidR="00DE5EA3" w:rsidTr="00587A56">
        <w:trPr>
          <w:trHeight w:val="414"/>
        </w:trPr>
        <w:tc>
          <w:tcPr>
            <w:tcW w:w="10040" w:type="dxa"/>
            <w:gridSpan w:val="2"/>
          </w:tcPr>
          <w:p w:rsidR="00DE5EA3" w:rsidRDefault="00367751" w:rsidP="00587A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Ahol jelentőségteljes érintkezés lehetősége fennáll, ott viseljünk védelmi ruházatot. A zuhanyok használata ajánlott azokon a helyeken, ahol baleseti érintkezés történhet.</w:t>
            </w:r>
          </w:p>
        </w:tc>
      </w:tr>
      <w:tr w:rsidR="00DE5EA3" w:rsidTr="00587A56">
        <w:trPr>
          <w:trHeight w:val="414"/>
        </w:trPr>
        <w:tc>
          <w:tcPr>
            <w:tcW w:w="10040" w:type="dxa"/>
            <w:gridSpan w:val="2"/>
          </w:tcPr>
          <w:p w:rsidR="00DE5EA3" w:rsidRPr="00367751" w:rsidRDefault="00367751" w:rsidP="00587A56">
            <w:pPr>
              <w:pStyle w:val="Default"/>
              <w:jc w:val="both"/>
              <w:rPr>
                <w:b/>
                <w:sz w:val="18"/>
                <w:szCs w:val="18"/>
                <w:u w:val="single"/>
              </w:rPr>
            </w:pPr>
            <w:r w:rsidRPr="00367751">
              <w:rPr>
                <w:b/>
                <w:sz w:val="18"/>
                <w:szCs w:val="18"/>
                <w:u w:val="single"/>
              </w:rPr>
              <w:t xml:space="preserve">8.2.4 </w:t>
            </w:r>
            <w:r w:rsidR="00DE5EA3" w:rsidRPr="00367751">
              <w:rPr>
                <w:b/>
                <w:sz w:val="18"/>
                <w:szCs w:val="18"/>
                <w:u w:val="single"/>
              </w:rPr>
              <w:t xml:space="preserve">Környezeti expozíció-ellenőrzések </w:t>
            </w:r>
          </w:p>
          <w:p w:rsidR="00DE5EA3" w:rsidRDefault="00367751" w:rsidP="00587A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Nincsenek speciális intézkedések</w:t>
            </w:r>
            <w:r w:rsidR="00DE5EA3">
              <w:rPr>
                <w:sz w:val="18"/>
                <w:szCs w:val="18"/>
              </w:rPr>
              <w:t xml:space="preserve">. </w:t>
            </w:r>
          </w:p>
        </w:tc>
      </w:tr>
      <w:tr w:rsidR="00DE5EA3" w:rsidTr="00587A56">
        <w:trPr>
          <w:trHeight w:val="414"/>
        </w:trPr>
        <w:tc>
          <w:tcPr>
            <w:tcW w:w="10040" w:type="dxa"/>
            <w:gridSpan w:val="2"/>
            <w:tcBorders>
              <w:left w:val="nil"/>
              <w:bottom w:val="nil"/>
              <w:right w:val="nil"/>
            </w:tcBorders>
          </w:tcPr>
          <w:p w:rsidR="00DE5EA3" w:rsidRPr="00537629" w:rsidRDefault="00DE5EA3" w:rsidP="00CF009A">
            <w:pPr>
              <w:pStyle w:val="szakasz"/>
            </w:pPr>
            <w:r w:rsidRPr="00537629">
              <w:t xml:space="preserve">9. SZAKASZ: Fizikai és kémiai tulajdonságok </w:t>
            </w:r>
          </w:p>
        </w:tc>
      </w:tr>
    </w:tbl>
    <w:p w:rsidR="00654F1A" w:rsidRPr="00CF009A" w:rsidRDefault="00DE5EA3" w:rsidP="00587A56">
      <w:pPr>
        <w:rPr>
          <w:b/>
        </w:rPr>
      </w:pPr>
      <w:r w:rsidRPr="00CF009A">
        <w:rPr>
          <w:b/>
        </w:rPr>
        <w:t>9.1 Az alapvető fizikai és kémiai információkra vonatkozó szabályok</w:t>
      </w:r>
    </w:p>
    <w:tbl>
      <w:tblPr>
        <w:tblStyle w:val="Rcsostblzat"/>
        <w:tblW w:w="0" w:type="auto"/>
        <w:tblLook w:val="04A0"/>
      </w:tblPr>
      <w:tblGrid>
        <w:gridCol w:w="3227"/>
        <w:gridCol w:w="3118"/>
        <w:gridCol w:w="2867"/>
      </w:tblGrid>
      <w:tr w:rsidR="00CF009A" w:rsidTr="00D5300E">
        <w:tc>
          <w:tcPr>
            <w:tcW w:w="3227" w:type="dxa"/>
          </w:tcPr>
          <w:p w:rsidR="00CF009A" w:rsidRDefault="00CF009A" w:rsidP="00587A56"/>
        </w:tc>
        <w:tc>
          <w:tcPr>
            <w:tcW w:w="3118" w:type="dxa"/>
          </w:tcPr>
          <w:p w:rsidR="00CF009A" w:rsidRDefault="00CF009A" w:rsidP="00587A56"/>
        </w:tc>
        <w:tc>
          <w:tcPr>
            <w:tcW w:w="2867" w:type="dxa"/>
          </w:tcPr>
          <w:p w:rsidR="00CF009A" w:rsidRDefault="00CF009A" w:rsidP="00587A56">
            <w:r>
              <w:t>Tesztelési módszer</w:t>
            </w:r>
          </w:p>
        </w:tc>
      </w:tr>
      <w:tr w:rsidR="00CF009A" w:rsidTr="00D5300E">
        <w:tc>
          <w:tcPr>
            <w:tcW w:w="3227" w:type="dxa"/>
          </w:tcPr>
          <w:p w:rsidR="00CF009A" w:rsidRDefault="00CF009A" w:rsidP="00587A56">
            <w:r>
              <w:t>Megjelenés</w:t>
            </w:r>
          </w:p>
        </w:tc>
        <w:tc>
          <w:tcPr>
            <w:tcW w:w="3118" w:type="dxa"/>
          </w:tcPr>
          <w:p w:rsidR="00CF009A" w:rsidRDefault="00CF009A" w:rsidP="00587A56">
            <w:r>
              <w:t>Tiszta folyadék – színtelentől a gyömbérig (habár néhány fékfoly</w:t>
            </w:r>
            <w:r>
              <w:t>a</w:t>
            </w:r>
            <w:r>
              <w:t>dék színezett is lehet)</w:t>
            </w:r>
          </w:p>
        </w:tc>
        <w:tc>
          <w:tcPr>
            <w:tcW w:w="2867" w:type="dxa"/>
          </w:tcPr>
          <w:p w:rsidR="00CF009A" w:rsidRDefault="00CF009A" w:rsidP="00587A56">
            <w:r>
              <w:t>Látvány</w:t>
            </w:r>
          </w:p>
        </w:tc>
      </w:tr>
      <w:tr w:rsidR="00CF009A" w:rsidTr="00D5300E">
        <w:tc>
          <w:tcPr>
            <w:tcW w:w="3227" w:type="dxa"/>
          </w:tcPr>
          <w:p w:rsidR="00CF009A" w:rsidRDefault="00CF009A" w:rsidP="00587A56">
            <w:r>
              <w:t>Szag</w:t>
            </w:r>
          </w:p>
        </w:tc>
        <w:tc>
          <w:tcPr>
            <w:tcW w:w="3118" w:type="dxa"/>
          </w:tcPr>
          <w:p w:rsidR="00CF009A" w:rsidRDefault="00CF009A" w:rsidP="00587A56">
            <w:r>
              <w:t>Fűszerezetlen</w:t>
            </w:r>
          </w:p>
        </w:tc>
        <w:tc>
          <w:tcPr>
            <w:tcW w:w="2867" w:type="dxa"/>
          </w:tcPr>
          <w:p w:rsidR="00CF009A" w:rsidRDefault="00CF009A" w:rsidP="00587A56">
            <w:r>
              <w:t>nincs információ</w:t>
            </w:r>
          </w:p>
        </w:tc>
      </w:tr>
      <w:tr w:rsidR="00CF009A" w:rsidTr="00D5300E">
        <w:tc>
          <w:tcPr>
            <w:tcW w:w="3227" w:type="dxa"/>
          </w:tcPr>
          <w:p w:rsidR="00CF009A" w:rsidRDefault="00CF009A" w:rsidP="00587A56">
            <w:r>
              <w:t>Szag jellegzetesség</w:t>
            </w:r>
          </w:p>
        </w:tc>
        <w:tc>
          <w:tcPr>
            <w:tcW w:w="3118" w:type="dxa"/>
          </w:tcPr>
          <w:p w:rsidR="00CF009A" w:rsidRDefault="00CF009A" w:rsidP="00587A56">
            <w:r>
              <w:t>Nincs információ – nagyon kevés szag</w:t>
            </w:r>
          </w:p>
        </w:tc>
        <w:tc>
          <w:tcPr>
            <w:tcW w:w="2867" w:type="dxa"/>
          </w:tcPr>
          <w:p w:rsidR="00CF009A" w:rsidRDefault="00CF009A" w:rsidP="00587A56"/>
        </w:tc>
      </w:tr>
      <w:tr w:rsidR="00CF009A" w:rsidTr="00D5300E">
        <w:tc>
          <w:tcPr>
            <w:tcW w:w="3227" w:type="dxa"/>
          </w:tcPr>
          <w:p w:rsidR="00CF009A" w:rsidRDefault="00CF009A" w:rsidP="00587A56">
            <w:r>
              <w:t>pH</w:t>
            </w:r>
          </w:p>
        </w:tc>
        <w:tc>
          <w:tcPr>
            <w:tcW w:w="3118" w:type="dxa"/>
          </w:tcPr>
          <w:p w:rsidR="00CF009A" w:rsidRDefault="00CF009A" w:rsidP="00587A56">
            <w:r>
              <w:t>7,0-tól 11,50-ig</w:t>
            </w:r>
          </w:p>
        </w:tc>
        <w:tc>
          <w:tcPr>
            <w:tcW w:w="2867" w:type="dxa"/>
          </w:tcPr>
          <w:p w:rsidR="00CF009A" w:rsidRDefault="00CF009A" w:rsidP="00587A56">
            <w:r>
              <w:t>SAE J 1703</w:t>
            </w:r>
          </w:p>
        </w:tc>
      </w:tr>
      <w:tr w:rsidR="00CF009A" w:rsidTr="00D5300E">
        <w:tc>
          <w:tcPr>
            <w:tcW w:w="3227" w:type="dxa"/>
          </w:tcPr>
          <w:p w:rsidR="00CF009A" w:rsidRDefault="00CF009A" w:rsidP="00587A56">
            <w:r>
              <w:t>Olvadási pont</w:t>
            </w:r>
          </w:p>
        </w:tc>
        <w:tc>
          <w:tcPr>
            <w:tcW w:w="3118" w:type="dxa"/>
          </w:tcPr>
          <w:p w:rsidR="00CF009A" w:rsidRDefault="00CF009A" w:rsidP="00587A56">
            <w:r>
              <w:t>&lt;-50°C</w:t>
            </w:r>
          </w:p>
        </w:tc>
        <w:tc>
          <w:tcPr>
            <w:tcW w:w="2867" w:type="dxa"/>
          </w:tcPr>
          <w:p w:rsidR="00CF009A" w:rsidRDefault="00CF009A" w:rsidP="00587A56">
            <w:r>
              <w:t>SAE</w:t>
            </w:r>
            <w:r w:rsidR="00595ED3">
              <w:t xml:space="preserve"> J 1703</w:t>
            </w:r>
          </w:p>
        </w:tc>
      </w:tr>
      <w:tr w:rsidR="00CF009A" w:rsidTr="00D5300E">
        <w:tc>
          <w:tcPr>
            <w:tcW w:w="3227" w:type="dxa"/>
          </w:tcPr>
          <w:p w:rsidR="00CF009A" w:rsidRDefault="00253612" w:rsidP="00587A56">
            <w:r>
              <w:t>Forráspont</w:t>
            </w:r>
          </w:p>
        </w:tc>
        <w:tc>
          <w:tcPr>
            <w:tcW w:w="3118" w:type="dxa"/>
          </w:tcPr>
          <w:p w:rsidR="00CF009A" w:rsidRDefault="00253612" w:rsidP="00587A56">
            <w:r>
              <w:t>&gt;205°C</w:t>
            </w:r>
          </w:p>
        </w:tc>
        <w:tc>
          <w:tcPr>
            <w:tcW w:w="2867" w:type="dxa"/>
          </w:tcPr>
          <w:p w:rsidR="00CF009A" w:rsidRDefault="00253612" w:rsidP="00587A56">
            <w:r>
              <w:t>SAE J 1703</w:t>
            </w:r>
          </w:p>
        </w:tc>
      </w:tr>
      <w:tr w:rsidR="00CF009A" w:rsidTr="00D5300E">
        <w:tc>
          <w:tcPr>
            <w:tcW w:w="3227" w:type="dxa"/>
          </w:tcPr>
          <w:p w:rsidR="00CF009A" w:rsidRDefault="00253612" w:rsidP="00587A56">
            <w:r>
              <w:t>Gyújtópont</w:t>
            </w:r>
          </w:p>
        </w:tc>
        <w:tc>
          <w:tcPr>
            <w:tcW w:w="3118" w:type="dxa"/>
          </w:tcPr>
          <w:p w:rsidR="00CF009A" w:rsidRDefault="00253612" w:rsidP="00587A56">
            <w:r>
              <w:t>&gt;93°C</w:t>
            </w:r>
          </w:p>
        </w:tc>
        <w:tc>
          <w:tcPr>
            <w:tcW w:w="2867" w:type="dxa"/>
          </w:tcPr>
          <w:p w:rsidR="00CF009A" w:rsidRDefault="00253612" w:rsidP="00587A56">
            <w:r>
              <w:t>IP 35</w:t>
            </w:r>
          </w:p>
        </w:tc>
      </w:tr>
      <w:tr w:rsidR="00595ED3" w:rsidTr="00D5300E">
        <w:tc>
          <w:tcPr>
            <w:tcW w:w="3227" w:type="dxa"/>
          </w:tcPr>
          <w:p w:rsidR="00595ED3" w:rsidRDefault="00253612" w:rsidP="00587A56">
            <w:r>
              <w:lastRenderedPageBreak/>
              <w:t>Éghetőség levegőben</w:t>
            </w:r>
          </w:p>
        </w:tc>
        <w:tc>
          <w:tcPr>
            <w:tcW w:w="3118" w:type="dxa"/>
          </w:tcPr>
          <w:p w:rsidR="00595ED3" w:rsidRDefault="00D5300E" w:rsidP="00587A56">
            <w:r>
              <w:t>Megalapozatlanul</w:t>
            </w:r>
            <w:r w:rsidR="001C0CE8">
              <w:t xml:space="preserve"> nem illékony.</w:t>
            </w:r>
          </w:p>
        </w:tc>
        <w:tc>
          <w:tcPr>
            <w:tcW w:w="2867" w:type="dxa"/>
          </w:tcPr>
          <w:p w:rsidR="00595ED3" w:rsidRDefault="00595ED3" w:rsidP="00587A56"/>
        </w:tc>
      </w:tr>
      <w:tr w:rsidR="00595ED3" w:rsidTr="00D5300E">
        <w:tc>
          <w:tcPr>
            <w:tcW w:w="3227" w:type="dxa"/>
          </w:tcPr>
          <w:p w:rsidR="00595ED3" w:rsidRDefault="001C0CE8" w:rsidP="00587A56">
            <w:r>
              <w:t>Öngyulladási hőmérséklet</w:t>
            </w:r>
          </w:p>
        </w:tc>
        <w:tc>
          <w:tcPr>
            <w:tcW w:w="3118" w:type="dxa"/>
          </w:tcPr>
          <w:p w:rsidR="00595ED3" w:rsidRDefault="001C0CE8" w:rsidP="00587A56">
            <w:r>
              <w:t>&gt;300°C</w:t>
            </w:r>
          </w:p>
        </w:tc>
        <w:tc>
          <w:tcPr>
            <w:tcW w:w="2867" w:type="dxa"/>
          </w:tcPr>
          <w:p w:rsidR="00595ED3" w:rsidRDefault="001C0CE8" w:rsidP="00587A56">
            <w:r>
              <w:t>ASTM D 286</w:t>
            </w:r>
          </w:p>
        </w:tc>
      </w:tr>
      <w:tr w:rsidR="00595ED3" w:rsidTr="00D5300E">
        <w:tc>
          <w:tcPr>
            <w:tcW w:w="3227" w:type="dxa"/>
          </w:tcPr>
          <w:p w:rsidR="00595ED3" w:rsidRDefault="001C0CE8" w:rsidP="00587A56">
            <w:r>
              <w:t>Bomlási hőmérséklet</w:t>
            </w:r>
          </w:p>
        </w:tc>
        <w:tc>
          <w:tcPr>
            <w:tcW w:w="3118" w:type="dxa"/>
          </w:tcPr>
          <w:p w:rsidR="00595ED3" w:rsidRDefault="001C0CE8" w:rsidP="00587A56">
            <w:r>
              <w:t>&gt;300°C</w:t>
            </w:r>
          </w:p>
        </w:tc>
        <w:tc>
          <w:tcPr>
            <w:tcW w:w="2867" w:type="dxa"/>
          </w:tcPr>
          <w:p w:rsidR="00595ED3" w:rsidRDefault="00595ED3" w:rsidP="00587A56"/>
        </w:tc>
      </w:tr>
      <w:tr w:rsidR="00595ED3" w:rsidTr="00D5300E">
        <w:tc>
          <w:tcPr>
            <w:tcW w:w="3227" w:type="dxa"/>
          </w:tcPr>
          <w:p w:rsidR="00595ED3" w:rsidRDefault="001C0CE8" w:rsidP="00587A56">
            <w:r>
              <w:t>Elpárolgási szint</w:t>
            </w:r>
          </w:p>
        </w:tc>
        <w:tc>
          <w:tcPr>
            <w:tcW w:w="3118" w:type="dxa"/>
          </w:tcPr>
          <w:p w:rsidR="00595ED3" w:rsidRDefault="001C0CE8" w:rsidP="00587A56">
            <w:r>
              <w:t>Elhanyagolható</w:t>
            </w:r>
          </w:p>
        </w:tc>
        <w:tc>
          <w:tcPr>
            <w:tcW w:w="2867" w:type="dxa"/>
          </w:tcPr>
          <w:p w:rsidR="00595ED3" w:rsidRDefault="00595ED3" w:rsidP="00587A56"/>
        </w:tc>
      </w:tr>
      <w:tr w:rsidR="00595ED3" w:rsidTr="00D5300E">
        <w:tc>
          <w:tcPr>
            <w:tcW w:w="3227" w:type="dxa"/>
          </w:tcPr>
          <w:p w:rsidR="00595ED3" w:rsidRDefault="00FA70C0" w:rsidP="00587A56">
            <w:r>
              <w:t>Sűrűség (20°C-on)</w:t>
            </w:r>
          </w:p>
        </w:tc>
        <w:tc>
          <w:tcPr>
            <w:tcW w:w="3118" w:type="dxa"/>
          </w:tcPr>
          <w:p w:rsidR="00595ED3" w:rsidRDefault="00D5300E" w:rsidP="00587A56">
            <w:r>
              <w:t>1,010-1,060 g/ml</w:t>
            </w:r>
          </w:p>
        </w:tc>
        <w:tc>
          <w:tcPr>
            <w:tcW w:w="2867" w:type="dxa"/>
          </w:tcPr>
          <w:p w:rsidR="00595ED3" w:rsidRDefault="00D5300E" w:rsidP="00587A56">
            <w:r>
              <w:t>DIN 51757</w:t>
            </w:r>
          </w:p>
        </w:tc>
      </w:tr>
      <w:tr w:rsidR="00595ED3" w:rsidTr="00D5300E">
        <w:tc>
          <w:tcPr>
            <w:tcW w:w="3227" w:type="dxa"/>
          </w:tcPr>
          <w:p w:rsidR="00595ED3" w:rsidRDefault="00D5300E" w:rsidP="00587A56">
            <w:r>
              <w:t>Oldhatóság</w:t>
            </w:r>
          </w:p>
        </w:tc>
        <w:tc>
          <w:tcPr>
            <w:tcW w:w="3118" w:type="dxa"/>
          </w:tcPr>
          <w:p w:rsidR="00595ED3" w:rsidRDefault="00D5300E" w:rsidP="00587A56">
            <w:r>
              <w:t>Vízben: minden fokon elegyedik</w:t>
            </w:r>
          </w:p>
          <w:p w:rsidR="00D5300E" w:rsidRDefault="00D5300E" w:rsidP="00587A56">
            <w:r>
              <w:t>Etanolban: minden fokon elegyedik</w:t>
            </w:r>
          </w:p>
        </w:tc>
        <w:tc>
          <w:tcPr>
            <w:tcW w:w="2867" w:type="dxa"/>
          </w:tcPr>
          <w:p w:rsidR="00595ED3" w:rsidRDefault="00595ED3" w:rsidP="00587A56"/>
        </w:tc>
      </w:tr>
      <w:tr w:rsidR="00595ED3" w:rsidTr="00D5300E">
        <w:tc>
          <w:tcPr>
            <w:tcW w:w="3227" w:type="dxa"/>
          </w:tcPr>
          <w:p w:rsidR="00595ED3" w:rsidRDefault="00D5300E" w:rsidP="00587A56">
            <w:r>
              <w:t>Eloszlási koefficiens (</w:t>
            </w:r>
            <w:proofErr w:type="spellStart"/>
            <w:r>
              <w:t>n-Oktanol</w:t>
            </w:r>
            <w:proofErr w:type="spellEnd"/>
            <w:r>
              <w:t>/Víz)</w:t>
            </w:r>
          </w:p>
        </w:tc>
        <w:tc>
          <w:tcPr>
            <w:tcW w:w="3118" w:type="dxa"/>
          </w:tcPr>
          <w:p w:rsidR="00595ED3" w:rsidRDefault="00D5300E" w:rsidP="00587A56">
            <w:r>
              <w:t>&lt;2,0 (minden fő összetevő)</w:t>
            </w:r>
          </w:p>
        </w:tc>
        <w:tc>
          <w:tcPr>
            <w:tcW w:w="2867" w:type="dxa"/>
          </w:tcPr>
          <w:p w:rsidR="00595ED3" w:rsidRDefault="00D5300E" w:rsidP="00587A56">
            <w:r>
              <w:t>OECD 117</w:t>
            </w:r>
          </w:p>
        </w:tc>
      </w:tr>
      <w:tr w:rsidR="00595ED3" w:rsidTr="00D5300E">
        <w:tc>
          <w:tcPr>
            <w:tcW w:w="3227" w:type="dxa"/>
          </w:tcPr>
          <w:p w:rsidR="00595ED3" w:rsidRDefault="00D5300E" w:rsidP="00587A56">
            <w:r>
              <w:t>Viszkozitás (20°C-on)</w:t>
            </w:r>
          </w:p>
        </w:tc>
        <w:tc>
          <w:tcPr>
            <w:tcW w:w="3118" w:type="dxa"/>
          </w:tcPr>
          <w:p w:rsidR="00595ED3" w:rsidRDefault="00D5300E" w:rsidP="00587A56">
            <w:r>
              <w:t xml:space="preserve">Kb. 5-10 </w:t>
            </w:r>
            <w:proofErr w:type="spellStart"/>
            <w:r>
              <w:t>cSt</w:t>
            </w:r>
            <w:proofErr w:type="spellEnd"/>
          </w:p>
        </w:tc>
        <w:tc>
          <w:tcPr>
            <w:tcW w:w="2867" w:type="dxa"/>
          </w:tcPr>
          <w:p w:rsidR="00595ED3" w:rsidRDefault="00D5300E" w:rsidP="00587A56">
            <w:r>
              <w:t>ASTM D 445</w:t>
            </w:r>
          </w:p>
        </w:tc>
      </w:tr>
      <w:tr w:rsidR="00D5300E" w:rsidTr="00D5300E">
        <w:tc>
          <w:tcPr>
            <w:tcW w:w="3227" w:type="dxa"/>
          </w:tcPr>
          <w:p w:rsidR="00D5300E" w:rsidRDefault="00D5300E" w:rsidP="00587A56">
            <w:r>
              <w:t>Gáznyomás, 20°C-on</w:t>
            </w:r>
          </w:p>
        </w:tc>
        <w:tc>
          <w:tcPr>
            <w:tcW w:w="3118" w:type="dxa"/>
          </w:tcPr>
          <w:p w:rsidR="00D5300E" w:rsidRDefault="00D5300E" w:rsidP="00587A56">
            <w:r>
              <w:t>&lt;2 millibar</w:t>
            </w:r>
          </w:p>
        </w:tc>
        <w:tc>
          <w:tcPr>
            <w:tcW w:w="2867" w:type="dxa"/>
          </w:tcPr>
          <w:p w:rsidR="00D5300E" w:rsidRDefault="00D5300E" w:rsidP="00587A56">
            <w:proofErr w:type="spellStart"/>
            <w:r>
              <w:t>Reid</w:t>
            </w:r>
            <w:proofErr w:type="spellEnd"/>
          </w:p>
        </w:tc>
      </w:tr>
      <w:tr w:rsidR="00D5300E" w:rsidTr="00D5300E">
        <w:tc>
          <w:tcPr>
            <w:tcW w:w="3227" w:type="dxa"/>
          </w:tcPr>
          <w:p w:rsidR="00D5300E" w:rsidRDefault="00D5300E" w:rsidP="00587A56">
            <w:r>
              <w:t>Gázsűrűség</w:t>
            </w:r>
          </w:p>
        </w:tc>
        <w:tc>
          <w:tcPr>
            <w:tcW w:w="3118" w:type="dxa"/>
          </w:tcPr>
          <w:p w:rsidR="00D5300E" w:rsidRDefault="00D5300E" w:rsidP="00587A56">
            <w:r>
              <w:t>Megalapozatlanul nem illékony</w:t>
            </w:r>
          </w:p>
        </w:tc>
        <w:tc>
          <w:tcPr>
            <w:tcW w:w="2867" w:type="dxa"/>
          </w:tcPr>
          <w:p w:rsidR="00D5300E" w:rsidRDefault="00D5300E" w:rsidP="00587A56"/>
        </w:tc>
      </w:tr>
      <w:tr w:rsidR="00D5300E" w:rsidTr="00D5300E">
        <w:tc>
          <w:tcPr>
            <w:tcW w:w="3227" w:type="dxa"/>
          </w:tcPr>
          <w:p w:rsidR="00D5300E" w:rsidRDefault="00D5300E" w:rsidP="00587A56">
            <w:r>
              <w:t>Robbanási tulajdonságok</w:t>
            </w:r>
          </w:p>
        </w:tc>
        <w:tc>
          <w:tcPr>
            <w:tcW w:w="3118" w:type="dxa"/>
          </w:tcPr>
          <w:p w:rsidR="00D5300E" w:rsidRDefault="00D5300E" w:rsidP="00587A56">
            <w:r>
              <w:t>Nem robbanékony</w:t>
            </w:r>
          </w:p>
        </w:tc>
        <w:tc>
          <w:tcPr>
            <w:tcW w:w="2867" w:type="dxa"/>
          </w:tcPr>
          <w:p w:rsidR="00D5300E" w:rsidRDefault="00D5300E" w:rsidP="00587A56"/>
        </w:tc>
      </w:tr>
      <w:tr w:rsidR="00D5300E" w:rsidTr="00D5300E">
        <w:tc>
          <w:tcPr>
            <w:tcW w:w="3227" w:type="dxa"/>
          </w:tcPr>
          <w:p w:rsidR="00D5300E" w:rsidRDefault="00D5300E" w:rsidP="00587A56">
            <w:r>
              <w:t>Oxidációs tulajdonságok</w:t>
            </w:r>
          </w:p>
        </w:tc>
        <w:tc>
          <w:tcPr>
            <w:tcW w:w="3118" w:type="dxa"/>
          </w:tcPr>
          <w:p w:rsidR="00D5300E" w:rsidRDefault="00D5300E" w:rsidP="00587A56">
            <w:r>
              <w:t>Nem oxidálódik</w:t>
            </w:r>
          </w:p>
        </w:tc>
        <w:tc>
          <w:tcPr>
            <w:tcW w:w="2867" w:type="dxa"/>
          </w:tcPr>
          <w:p w:rsidR="00D5300E" w:rsidRDefault="00D5300E" w:rsidP="00587A56"/>
        </w:tc>
      </w:tr>
    </w:tbl>
    <w:p w:rsidR="00DE5EA3" w:rsidRDefault="00DE5EA3" w:rsidP="00587A56"/>
    <w:p w:rsidR="00DE5EA3" w:rsidRPr="00D5300E" w:rsidRDefault="00DE5EA3" w:rsidP="00587A56">
      <w:pPr>
        <w:rPr>
          <w:b/>
        </w:rPr>
      </w:pPr>
      <w:r w:rsidRPr="00D5300E">
        <w:rPr>
          <w:b/>
        </w:rPr>
        <w:t>9.2 Egyéb információk</w:t>
      </w:r>
    </w:p>
    <w:p w:rsidR="00DE5EA3" w:rsidRDefault="00DE5EA3" w:rsidP="00587A56">
      <w:r w:rsidRPr="00DE5EA3">
        <w:t>További vizsgálatról nincs adat</w:t>
      </w:r>
    </w:p>
    <w:p w:rsidR="00DE5EA3" w:rsidRPr="00821CA4" w:rsidRDefault="00DE5EA3" w:rsidP="00D5300E">
      <w:pPr>
        <w:pStyle w:val="szakasz"/>
      </w:pPr>
      <w:r w:rsidRPr="00821CA4">
        <w:t xml:space="preserve">10. SZAKASZ: Stabilitás és reakciókészség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13"/>
      </w:tblGrid>
      <w:tr w:rsidR="00DE5EA3" w:rsidRPr="00821CA4" w:rsidTr="00DE5EA3">
        <w:trPr>
          <w:trHeight w:val="84"/>
        </w:trPr>
        <w:tc>
          <w:tcPr>
            <w:tcW w:w="8613" w:type="dxa"/>
            <w:tcBorders>
              <w:top w:val="nil"/>
              <w:left w:val="nil"/>
              <w:right w:val="nil"/>
            </w:tcBorders>
          </w:tcPr>
          <w:p w:rsidR="00DE5EA3" w:rsidRPr="00D5300E" w:rsidRDefault="00DE5EA3" w:rsidP="00D5300E">
            <w:pPr>
              <w:rPr>
                <w:b/>
              </w:rPr>
            </w:pPr>
            <w:r w:rsidRPr="00D5300E">
              <w:rPr>
                <w:b/>
              </w:rPr>
              <w:t>10.1 Reakciókészség</w:t>
            </w:r>
          </w:p>
          <w:p w:rsidR="00DE5EA3" w:rsidRPr="00821CA4" w:rsidRDefault="00DE5EA3" w:rsidP="00D5300E">
            <w:r w:rsidRPr="00821CA4">
              <w:t xml:space="preserve">A termék stabil nem lép reakcióban normál raktározási és szállítási körülmények között. </w:t>
            </w:r>
          </w:p>
          <w:p w:rsidR="00DE5EA3" w:rsidRPr="00D5300E" w:rsidRDefault="00DE5EA3" w:rsidP="00D5300E">
            <w:pPr>
              <w:rPr>
                <w:b/>
              </w:rPr>
            </w:pPr>
            <w:r w:rsidRPr="00D5300E">
              <w:rPr>
                <w:b/>
              </w:rPr>
              <w:t>10.2 Kémiai stabilitás</w:t>
            </w:r>
          </w:p>
          <w:p w:rsidR="00DE5EA3" w:rsidRPr="00821CA4" w:rsidRDefault="00821CA4" w:rsidP="00D5300E">
            <w:pPr>
              <w:rPr>
                <w:b/>
              </w:rPr>
            </w:pPr>
            <w:r w:rsidRPr="00821CA4">
              <w:t>Megfelelő használati és tárolási körülmények között a termék stabil.</w:t>
            </w:r>
          </w:p>
        </w:tc>
      </w:tr>
      <w:tr w:rsidR="00DE5EA3" w:rsidRPr="00821CA4" w:rsidTr="00DE5EA3">
        <w:trPr>
          <w:trHeight w:val="84"/>
        </w:trPr>
        <w:tc>
          <w:tcPr>
            <w:tcW w:w="8613" w:type="dxa"/>
          </w:tcPr>
          <w:p w:rsidR="00DE5EA3" w:rsidRPr="00821CA4" w:rsidRDefault="00DE5EA3" w:rsidP="00587A56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:rsidR="00DE5EA3" w:rsidRPr="00D5300E" w:rsidRDefault="00821CA4" w:rsidP="00587A56">
      <w:pPr>
        <w:rPr>
          <w:b/>
        </w:rPr>
      </w:pPr>
      <w:r w:rsidRPr="00D5300E">
        <w:rPr>
          <w:b/>
        </w:rPr>
        <w:t>10.3 A veszélyes reakciók lehetősége</w:t>
      </w:r>
    </w:p>
    <w:p w:rsidR="00821CA4" w:rsidRDefault="00D5300E" w:rsidP="00587A56">
      <w:r>
        <w:t xml:space="preserve">Tárolás során a </w:t>
      </w:r>
      <w:proofErr w:type="spellStart"/>
      <w:r>
        <w:t>glikoléterek</w:t>
      </w:r>
      <w:proofErr w:type="spellEnd"/>
      <w:r>
        <w:t xml:space="preserve"> peroxidokat szabadíthatnak fel.</w:t>
      </w:r>
    </w:p>
    <w:p w:rsidR="00D5300E" w:rsidRDefault="00D5300E" w:rsidP="00587A56">
      <w:r>
        <w:t xml:space="preserve">A </w:t>
      </w:r>
      <w:proofErr w:type="spellStart"/>
      <w:r>
        <w:t>glikoléterek</w:t>
      </w:r>
      <w:proofErr w:type="spellEnd"/>
      <w:r>
        <w:t xml:space="preserve"> könnyűfémekkel reakcióba léphetnek, hidrogén-felszabadulással.</w:t>
      </w:r>
    </w:p>
    <w:p w:rsidR="00821CA4" w:rsidRPr="00D5300E" w:rsidRDefault="00821CA4" w:rsidP="00587A56">
      <w:pPr>
        <w:rPr>
          <w:b/>
        </w:rPr>
      </w:pPr>
      <w:r w:rsidRPr="00D5300E">
        <w:rPr>
          <w:b/>
        </w:rPr>
        <w:t>10.4 Kerülendő körülmények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13"/>
      </w:tblGrid>
      <w:tr w:rsidR="00821CA4" w:rsidTr="00587A56">
        <w:trPr>
          <w:trHeight w:val="84"/>
        </w:trPr>
        <w:tc>
          <w:tcPr>
            <w:tcW w:w="8413" w:type="dxa"/>
          </w:tcPr>
          <w:p w:rsidR="00821CA4" w:rsidRDefault="00D5300E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pároljuk száradásig peroxid-képződés tesztelése előtt.</w:t>
            </w:r>
          </w:p>
        </w:tc>
      </w:tr>
    </w:tbl>
    <w:p w:rsidR="00821CA4" w:rsidRPr="00D5300E" w:rsidRDefault="00821CA4" w:rsidP="00587A56">
      <w:pPr>
        <w:rPr>
          <w:b/>
        </w:rPr>
      </w:pPr>
      <w:r w:rsidRPr="00D5300E">
        <w:rPr>
          <w:b/>
        </w:rPr>
        <w:t>10.5 Nem összeférhető anyagok</w:t>
      </w:r>
    </w:p>
    <w:p w:rsidR="00821CA4" w:rsidRPr="00DB7F97" w:rsidRDefault="007D4A47" w:rsidP="00587A56">
      <w:r>
        <w:t xml:space="preserve">Erős </w:t>
      </w:r>
      <w:proofErr w:type="spellStart"/>
      <w:r>
        <w:t>oxidánsok</w:t>
      </w:r>
      <w:proofErr w:type="spellEnd"/>
      <w:r w:rsidR="00821CA4" w:rsidRPr="00DB7F97">
        <w:t>.</w:t>
      </w:r>
      <w:r>
        <w:t xml:space="preserve"> A felhasználó biztonsága érdekében a fékfolyadékot ne keverje más folyadékokkal!</w:t>
      </w:r>
    </w:p>
    <w:p w:rsidR="00821CA4" w:rsidRPr="007D4A47" w:rsidRDefault="00821CA4" w:rsidP="00587A56">
      <w:pPr>
        <w:rPr>
          <w:b/>
        </w:rPr>
      </w:pPr>
      <w:r w:rsidRPr="007D4A47">
        <w:rPr>
          <w:b/>
        </w:rPr>
        <w:t>10.6 Veszélyes bomlástermékek</w:t>
      </w:r>
    </w:p>
    <w:p w:rsidR="00821CA4" w:rsidRPr="00DB7F97" w:rsidRDefault="007D4A47" w:rsidP="00587A56">
      <w:r>
        <w:t>Nem ismert.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06"/>
      </w:tblGrid>
      <w:tr w:rsidR="00821CA4" w:rsidRPr="00DB7F97" w:rsidTr="00587A56">
        <w:trPr>
          <w:trHeight w:val="84"/>
        </w:trPr>
        <w:tc>
          <w:tcPr>
            <w:tcW w:w="4206" w:type="dxa"/>
          </w:tcPr>
          <w:p w:rsidR="00821CA4" w:rsidRPr="00DB7F97" w:rsidRDefault="00821CA4" w:rsidP="00587A5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B4B76" w:rsidRPr="00DB7F97" w:rsidRDefault="00BB4B76" w:rsidP="007D4A47">
      <w:pPr>
        <w:pStyle w:val="szakasz"/>
      </w:pPr>
      <w:r w:rsidRPr="00DB7F97">
        <w:t>11. SZAKASZ: Toxikológiai adatok</w:t>
      </w:r>
      <w:r w:rsidR="007D4A47">
        <w:t xml:space="preserve"> (az adatok a hasonló termékek analógiáján is alapulhat)</w:t>
      </w:r>
    </w:p>
    <w:p w:rsidR="00BB4B76" w:rsidRPr="00DB7F97" w:rsidRDefault="00BB4B76" w:rsidP="00587A56">
      <w:r w:rsidRPr="00DB7F97">
        <w:t xml:space="preserve"> </w:t>
      </w:r>
    </w:p>
    <w:p w:rsidR="00BB4B76" w:rsidRPr="007D4A47" w:rsidRDefault="00BB4B76" w:rsidP="00587A56">
      <w:pPr>
        <w:rPr>
          <w:b/>
        </w:rPr>
      </w:pPr>
      <w:r w:rsidRPr="007D4A47">
        <w:rPr>
          <w:b/>
        </w:rPr>
        <w:t>11.1. Információk a mérgező hatásokról</w:t>
      </w:r>
    </w:p>
    <w:p w:rsidR="007D4A47" w:rsidRDefault="007D4A47" w:rsidP="007D4A47">
      <w:pPr>
        <w:pStyle w:val="alhzott"/>
      </w:pPr>
      <w:r>
        <w:t>11.1. Akut mérgezés</w:t>
      </w:r>
    </w:p>
    <w:p w:rsidR="007D4A47" w:rsidRPr="007D4A47" w:rsidRDefault="007D4A47" w:rsidP="007D4A47">
      <w:pPr>
        <w:rPr>
          <w:b/>
        </w:rPr>
      </w:pPr>
      <w:r w:rsidRPr="007D4A47">
        <w:rPr>
          <w:b/>
        </w:rPr>
        <w:t>Lenyelés</w:t>
      </w:r>
    </w:p>
    <w:p w:rsidR="007D4A47" w:rsidRDefault="007D4A47" w:rsidP="00587A56">
      <w:r>
        <w:t xml:space="preserve">A termék szájon át kis eséllyel okoz akut mérgezést – LD50 (szájon át) </w:t>
      </w:r>
      <w:proofErr w:type="spellStart"/>
      <w:r>
        <w:t>Rat</w:t>
      </w:r>
      <w:proofErr w:type="spellEnd"/>
      <w:r>
        <w:t xml:space="preserve"> =&gt; 5000 mg/kg. (Néhány tapasztalat azt mutatja, hogy a halálos adat emberek számára ennél kevesebb is lehet.) Ennek ellenére, ha bármilyen jele</w:t>
      </w:r>
      <w:r>
        <w:t>n</w:t>
      </w:r>
      <w:r>
        <w:t>tős mennyiség kerül lenyelésre, akkor a vesekárosodás kockázata fennáll, ami extrém esetekben veseleálláshoz, kómához vagy akár halálhoz is vezethet. A túladagolás további tünetei között található a központi idegrendszer zavara, hasüregi nyugtalanság, anyagcserés p</w:t>
      </w:r>
      <w:r w:rsidR="00766264">
        <w:t>roblémák, fejfájás és émelygés.</w:t>
      </w:r>
    </w:p>
    <w:p w:rsidR="00766264" w:rsidRDefault="00766264" w:rsidP="00587A56">
      <w:pPr>
        <w:rPr>
          <w:b/>
        </w:rPr>
      </w:pPr>
      <w:r w:rsidRPr="00766264">
        <w:rPr>
          <w:b/>
        </w:rPr>
        <w:t>Belégzés</w:t>
      </w:r>
    </w:p>
    <w:p w:rsidR="00766264" w:rsidRPr="00766264" w:rsidRDefault="00766264" w:rsidP="00587A56">
      <w:r>
        <w:t>Belégzés esetén nem nevezhető veszélyesnek normál körülmények között, az alacsony gáznyomásnak köszö</w:t>
      </w:r>
      <w:r>
        <w:t>n</w:t>
      </w:r>
      <w:r>
        <w:t>hetően. Ha a terméket magasabb hőmérséklet mellett, vagy aeroszolos formában lélegzi be, akkor irritálhatja a légcsöveket és a lenyelés esetén kialakuló szervrendszeri problémákat okozhat.</w:t>
      </w:r>
    </w:p>
    <w:p w:rsidR="00BB4B76" w:rsidRDefault="00BB4B76" w:rsidP="00587A56">
      <w:r w:rsidRPr="00DB7F97">
        <w:t>Lenyelve rosszullétet okozhat.</w:t>
      </w:r>
    </w:p>
    <w:p w:rsidR="00766264" w:rsidRDefault="00766264" w:rsidP="00587A56">
      <w:pPr>
        <w:rPr>
          <w:b/>
        </w:rPr>
      </w:pPr>
      <w:r w:rsidRPr="00766264">
        <w:rPr>
          <w:b/>
        </w:rPr>
        <w:t xml:space="preserve">Aspiráció </w:t>
      </w:r>
    </w:p>
    <w:p w:rsidR="00766264" w:rsidRDefault="00766264" w:rsidP="00587A56">
      <w:r>
        <w:t>Nincs aspirációs veszély.</w:t>
      </w:r>
    </w:p>
    <w:p w:rsidR="00766264" w:rsidRPr="00766264" w:rsidRDefault="00766264" w:rsidP="00587A56">
      <w:pPr>
        <w:rPr>
          <w:b/>
        </w:rPr>
      </w:pPr>
      <w:r w:rsidRPr="00766264">
        <w:rPr>
          <w:b/>
        </w:rPr>
        <w:t>Bőr</w:t>
      </w:r>
    </w:p>
    <w:p w:rsidR="00766264" w:rsidRDefault="00766264" w:rsidP="00587A56">
      <w:r>
        <w:t>Akut felszíni mérgezésre alacsony esély van LD50 (</w:t>
      </w:r>
      <w:proofErr w:type="spellStart"/>
      <w:r>
        <w:t>sk</w:t>
      </w:r>
      <w:proofErr w:type="spellEnd"/>
      <w:r>
        <w:t>) Rabbit =&gt; 3000 mg/kg. Sérült bőrrel való intenzív érintk</w:t>
      </w:r>
      <w:r>
        <w:t>e</w:t>
      </w:r>
      <w:r>
        <w:t>zés esetén a felszívódás miatt a sérülés veszélye megnő.</w:t>
      </w:r>
    </w:p>
    <w:p w:rsidR="00DB7F97" w:rsidRDefault="00766264" w:rsidP="00587A56">
      <w:pPr>
        <w:rPr>
          <w:u w:val="single"/>
        </w:rPr>
      </w:pPr>
      <w:r w:rsidRPr="00766264">
        <w:rPr>
          <w:u w:val="single"/>
        </w:rPr>
        <w:t>11.1.2 Irritáció</w:t>
      </w:r>
    </w:p>
    <w:p w:rsidR="00766264" w:rsidRDefault="00766264" w:rsidP="00587A56">
      <w:pPr>
        <w:rPr>
          <w:b/>
        </w:rPr>
      </w:pPr>
      <w:r>
        <w:rPr>
          <w:b/>
        </w:rPr>
        <w:t>Szemmel való érintkezés</w:t>
      </w:r>
    </w:p>
    <w:p w:rsidR="00766264" w:rsidRDefault="00766264" w:rsidP="00587A56">
      <w:r>
        <w:t>Komoly szemsérülést okozhat. (Teszt módszer: OECD 405)</w:t>
      </w:r>
    </w:p>
    <w:p w:rsidR="00766264" w:rsidRDefault="00766264" w:rsidP="00587A56">
      <w:pPr>
        <w:rPr>
          <w:b/>
        </w:rPr>
      </w:pPr>
      <w:r>
        <w:rPr>
          <w:b/>
        </w:rPr>
        <w:lastRenderedPageBreak/>
        <w:t>Bőrrel való érintkezés</w:t>
      </w:r>
    </w:p>
    <w:p w:rsidR="00766264" w:rsidRDefault="00766264" w:rsidP="00587A56">
      <w:r>
        <w:t xml:space="preserve">A fellelhető adatok alapján az osztályozási kritérium nem vonatkozik rá – Teszt módszer: OECD 404. Ismétlődő érintkezés esetén </w:t>
      </w:r>
      <w:r w:rsidR="00E73CB9">
        <w:t>roncsolja a bőr zsírszöveteit és bőrrákot okozhat.</w:t>
      </w:r>
    </w:p>
    <w:p w:rsidR="00E73CB9" w:rsidRPr="00E73CB9" w:rsidRDefault="00E73CB9" w:rsidP="00587A56">
      <w:pPr>
        <w:rPr>
          <w:u w:val="single"/>
        </w:rPr>
      </w:pPr>
      <w:r w:rsidRPr="00E73CB9">
        <w:rPr>
          <w:u w:val="single"/>
        </w:rPr>
        <w:t xml:space="preserve">11.1.3 </w:t>
      </w:r>
      <w:proofErr w:type="spellStart"/>
      <w:r w:rsidRPr="00E73CB9">
        <w:rPr>
          <w:u w:val="single"/>
        </w:rPr>
        <w:t>Korrozió</w:t>
      </w:r>
      <w:proofErr w:type="spellEnd"/>
    </w:p>
    <w:p w:rsidR="00E73CB9" w:rsidRDefault="00E73CB9" w:rsidP="00587A56">
      <w:r>
        <w:t>A fellelhető adatok alapján az osztályozási kritérium nem vonatkozik rá.</w:t>
      </w:r>
    </w:p>
    <w:p w:rsidR="00E73CB9" w:rsidRPr="00E73CB9" w:rsidRDefault="00E73CB9" w:rsidP="00E73CB9">
      <w:pPr>
        <w:rPr>
          <w:u w:val="single"/>
        </w:rPr>
      </w:pPr>
      <w:r>
        <w:rPr>
          <w:u w:val="single"/>
        </w:rPr>
        <w:t>11.1.4</w:t>
      </w:r>
      <w:r w:rsidRPr="00E73CB9">
        <w:rPr>
          <w:u w:val="single"/>
        </w:rPr>
        <w:t xml:space="preserve"> </w:t>
      </w:r>
      <w:r>
        <w:rPr>
          <w:u w:val="single"/>
        </w:rPr>
        <w:t>Érzékenyítés</w:t>
      </w:r>
    </w:p>
    <w:p w:rsidR="00E73CB9" w:rsidRDefault="00E73CB9" w:rsidP="00E73CB9">
      <w:r>
        <w:t>A fellelhető adatok alapján az osztályozási kritérium nem vonatkozik rá.</w:t>
      </w:r>
    </w:p>
    <w:p w:rsidR="00E73CB9" w:rsidRDefault="00E73CB9" w:rsidP="00E73CB9">
      <w:pPr>
        <w:rPr>
          <w:u w:val="single"/>
        </w:rPr>
      </w:pPr>
      <w:r w:rsidRPr="00E73CB9">
        <w:rPr>
          <w:u w:val="single"/>
        </w:rPr>
        <w:t>11.1.6 Rákkeltő hatás</w:t>
      </w:r>
    </w:p>
    <w:p w:rsidR="00E73CB9" w:rsidRDefault="00E73CB9" w:rsidP="00E73CB9">
      <w:r>
        <w:t>Nem rákkeltő.</w:t>
      </w:r>
    </w:p>
    <w:p w:rsidR="00E73CB9" w:rsidRDefault="00E73CB9" w:rsidP="00E73CB9">
      <w:pPr>
        <w:rPr>
          <w:u w:val="single"/>
        </w:rPr>
      </w:pPr>
      <w:r w:rsidRPr="00E73CB9">
        <w:rPr>
          <w:u w:val="single"/>
        </w:rPr>
        <w:t xml:space="preserve">11.1.7 </w:t>
      </w:r>
      <w:proofErr w:type="spellStart"/>
      <w:r w:rsidRPr="00E73CB9">
        <w:rPr>
          <w:u w:val="single"/>
        </w:rPr>
        <w:t>Mutagenitás</w:t>
      </w:r>
      <w:proofErr w:type="spellEnd"/>
    </w:p>
    <w:p w:rsidR="00E73CB9" w:rsidRDefault="00E73CB9" w:rsidP="00E73CB9">
      <w:r>
        <w:t>Nem mutagén.</w:t>
      </w:r>
    </w:p>
    <w:p w:rsidR="009E323F" w:rsidRDefault="009E323F" w:rsidP="00E73CB9">
      <w:pPr>
        <w:rPr>
          <w:u w:val="single"/>
        </w:rPr>
      </w:pPr>
      <w:r w:rsidRPr="009E323F">
        <w:rPr>
          <w:u w:val="single"/>
        </w:rPr>
        <w:t>11.1.8 Reprodukciós toxicitás</w:t>
      </w:r>
    </w:p>
    <w:p w:rsidR="009E323F" w:rsidRPr="009E323F" w:rsidRDefault="009E323F" w:rsidP="00E73CB9">
      <w:r>
        <w:t xml:space="preserve">A fő összetevők nem okoznak jelentős termékenységi vagy fejlődésbeli problémákat, addig a szintig, amíg a vizsgálatba bevont állatokat vizsgálták. Egy fő összetevő, a </w:t>
      </w:r>
      <w:proofErr w:type="spellStart"/>
      <w:r>
        <w:t>metil-diglikol</w:t>
      </w:r>
      <w:proofErr w:type="spellEnd"/>
      <w:r>
        <w:t xml:space="preserve"> </w:t>
      </w:r>
      <w:r w:rsidR="00547D82">
        <w:t>hatással van a magzati fejlődésre n</w:t>
      </w:r>
      <w:r w:rsidR="00547D82">
        <w:t>é</w:t>
      </w:r>
      <w:r w:rsidR="00547D82">
        <w:t>hány tanulmány szerint, és ez miatt R63/H361a besorolást kapott.</w:t>
      </w:r>
    </w:p>
    <w:p w:rsidR="00DB7F97" w:rsidRDefault="00DB7F97" w:rsidP="00547D82">
      <w:pPr>
        <w:pStyle w:val="szakasz"/>
      </w:pPr>
      <w:r w:rsidRPr="003F57E7">
        <w:t xml:space="preserve">12. SZAKASZ: Ökológiai információk </w:t>
      </w:r>
    </w:p>
    <w:p w:rsidR="00DB7F97" w:rsidRPr="00DB7F97" w:rsidRDefault="00DB7F97" w:rsidP="00587A56"/>
    <w:p w:rsidR="00547D82" w:rsidRDefault="00DB7F97" w:rsidP="00547D82">
      <w:pPr>
        <w:rPr>
          <w:b/>
        </w:rPr>
      </w:pPr>
      <w:r w:rsidRPr="00DB7F97">
        <w:rPr>
          <w:b/>
        </w:rPr>
        <w:t>12.1. Toxikusság</w:t>
      </w:r>
    </w:p>
    <w:p w:rsidR="00547D82" w:rsidRPr="00547D82" w:rsidRDefault="00547D82" w:rsidP="00547D82">
      <w:r>
        <w:t>A termék alacsony szinten akut ökológiai mérgezést okozhat.</w:t>
      </w:r>
    </w:p>
    <w:tbl>
      <w:tblPr>
        <w:tblStyle w:val="Rcsostblzat"/>
        <w:tblW w:w="0" w:type="auto"/>
        <w:tblLook w:val="04A0"/>
      </w:tblPr>
      <w:tblGrid>
        <w:gridCol w:w="3070"/>
        <w:gridCol w:w="1574"/>
        <w:gridCol w:w="4568"/>
      </w:tblGrid>
      <w:tr w:rsidR="00547D82" w:rsidTr="00547D82">
        <w:tc>
          <w:tcPr>
            <w:tcW w:w="3070" w:type="dxa"/>
          </w:tcPr>
          <w:p w:rsidR="00547D82" w:rsidRDefault="00547D82" w:rsidP="00547D82">
            <w:r>
              <w:t>Hal</w:t>
            </w:r>
          </w:p>
        </w:tc>
        <w:tc>
          <w:tcPr>
            <w:tcW w:w="1574" w:type="dxa"/>
          </w:tcPr>
          <w:p w:rsidR="00547D82" w:rsidRDefault="00547D82" w:rsidP="00547D82">
            <w:r>
              <w:t>96 óra</w:t>
            </w:r>
          </w:p>
        </w:tc>
        <w:tc>
          <w:tcPr>
            <w:tcW w:w="4568" w:type="dxa"/>
          </w:tcPr>
          <w:p w:rsidR="00547D82" w:rsidRDefault="00547D82" w:rsidP="00547D82">
            <w:r>
              <w:t>LC50=&gt; 100mg/l (</w:t>
            </w: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Mykiss</w:t>
            </w:r>
            <w:proofErr w:type="spellEnd"/>
            <w:r>
              <w:t>)</w:t>
            </w:r>
          </w:p>
        </w:tc>
      </w:tr>
      <w:tr w:rsidR="00547D82" w:rsidTr="00547D82">
        <w:tc>
          <w:tcPr>
            <w:tcW w:w="3070" w:type="dxa"/>
          </w:tcPr>
          <w:p w:rsidR="00547D82" w:rsidRDefault="00547D82" w:rsidP="00547D82">
            <w:r>
              <w:t>Kis vízibolha</w:t>
            </w:r>
          </w:p>
        </w:tc>
        <w:tc>
          <w:tcPr>
            <w:tcW w:w="1574" w:type="dxa"/>
          </w:tcPr>
          <w:p w:rsidR="00547D82" w:rsidRDefault="00547D82" w:rsidP="00547D82">
            <w:r>
              <w:t>48 óra</w:t>
            </w:r>
          </w:p>
        </w:tc>
        <w:tc>
          <w:tcPr>
            <w:tcW w:w="4568" w:type="dxa"/>
          </w:tcPr>
          <w:p w:rsidR="00547D82" w:rsidRDefault="00547D82" w:rsidP="00547D82">
            <w:r>
              <w:t>EC50=Nem jelenthető ki teljes bizonyossággal, de elvárhatóan nincs látványos mérgezés.</w:t>
            </w:r>
          </w:p>
        </w:tc>
      </w:tr>
      <w:tr w:rsidR="00547D82" w:rsidTr="00547D82">
        <w:tc>
          <w:tcPr>
            <w:tcW w:w="3070" w:type="dxa"/>
          </w:tcPr>
          <w:p w:rsidR="00547D82" w:rsidRDefault="00547D82" w:rsidP="00547D82">
            <w:r>
              <w:t>Alga</w:t>
            </w:r>
          </w:p>
        </w:tc>
        <w:tc>
          <w:tcPr>
            <w:tcW w:w="1574" w:type="dxa"/>
          </w:tcPr>
          <w:p w:rsidR="00547D82" w:rsidRDefault="00547D82" w:rsidP="00547D82">
            <w:r>
              <w:t>72 óra</w:t>
            </w:r>
          </w:p>
        </w:tc>
        <w:tc>
          <w:tcPr>
            <w:tcW w:w="4568" w:type="dxa"/>
          </w:tcPr>
          <w:p w:rsidR="00547D82" w:rsidRDefault="00547D82" w:rsidP="001F7AF4">
            <w:r>
              <w:t>EC50=Nem jelenthető ki teljes bizonyossággal, de elvárhatóan nincs látványos mérgezés.</w:t>
            </w:r>
          </w:p>
        </w:tc>
      </w:tr>
    </w:tbl>
    <w:p w:rsidR="00BB4B76" w:rsidRPr="00573A86" w:rsidRDefault="007B5A53" w:rsidP="00587A56">
      <w:pPr>
        <w:rPr>
          <w:b/>
        </w:rPr>
      </w:pPr>
      <w:r w:rsidRPr="00573A86">
        <w:rPr>
          <w:b/>
        </w:rPr>
        <w:t xml:space="preserve">12.2 </w:t>
      </w:r>
      <w:proofErr w:type="spellStart"/>
      <w:r w:rsidRPr="00573A86">
        <w:rPr>
          <w:b/>
        </w:rPr>
        <w:t>Perzisztencia</w:t>
      </w:r>
      <w:proofErr w:type="spellEnd"/>
      <w:r w:rsidRPr="00573A86">
        <w:rPr>
          <w:b/>
        </w:rPr>
        <w:t xml:space="preserve"> és lebonthatóság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7B5A53" w:rsidTr="00573A86">
        <w:trPr>
          <w:trHeight w:val="84"/>
        </w:trPr>
        <w:tc>
          <w:tcPr>
            <w:tcW w:w="9180" w:type="dxa"/>
          </w:tcPr>
          <w:p w:rsidR="007B5A53" w:rsidRDefault="007B5A53" w:rsidP="00573A86">
            <w:r w:rsidRPr="007B5A53">
              <w:t xml:space="preserve">A termék </w:t>
            </w:r>
            <w:r w:rsidR="00573A86">
              <w:t xml:space="preserve">alapvetően </w:t>
            </w:r>
            <w:r w:rsidRPr="007B5A53">
              <w:t>biológiai úton lebomlik</w:t>
            </w:r>
            <w:r w:rsidR="00573A86">
              <w:t>, és az összetevők miatt képes erre</w:t>
            </w:r>
            <w:r w:rsidRPr="007B5A53">
              <w:t xml:space="preserve">. </w:t>
            </w:r>
          </w:p>
          <w:p w:rsidR="007B5A53" w:rsidRDefault="007B5A53" w:rsidP="00573A86">
            <w:pPr>
              <w:rPr>
                <w:b/>
                <w:bCs/>
              </w:rPr>
            </w:pPr>
            <w:r w:rsidRPr="007B5A53">
              <w:rPr>
                <w:b/>
              </w:rPr>
              <w:t>12.3</w:t>
            </w:r>
            <w:r>
              <w:t xml:space="preserve"> </w:t>
            </w:r>
            <w:proofErr w:type="spellStart"/>
            <w:r w:rsidRPr="007B5A53">
              <w:rPr>
                <w:b/>
                <w:bCs/>
              </w:rPr>
              <w:t>Bioakkumulációs</w:t>
            </w:r>
            <w:proofErr w:type="spellEnd"/>
            <w:r w:rsidRPr="007B5A53">
              <w:rPr>
                <w:b/>
                <w:bCs/>
              </w:rPr>
              <w:t xml:space="preserve"> képesség</w:t>
            </w:r>
          </w:p>
          <w:p w:rsidR="007B5A53" w:rsidRDefault="007B5A53" w:rsidP="00573A86">
            <w:pPr>
              <w:rPr>
                <w:bCs/>
              </w:rPr>
            </w:pPr>
            <w:r w:rsidRPr="007B5A53">
              <w:rPr>
                <w:bCs/>
              </w:rPr>
              <w:t>A termék nem hajlamos a biológiai</w:t>
            </w:r>
            <w:r w:rsidR="00573A86">
              <w:rPr>
                <w:bCs/>
              </w:rPr>
              <w:t xml:space="preserve"> akkumulációra. Az összes összetevő log </w:t>
            </w:r>
            <w:proofErr w:type="spellStart"/>
            <w:r w:rsidR="00573A86">
              <w:rPr>
                <w:bCs/>
              </w:rPr>
              <w:t>POW-ja</w:t>
            </w:r>
            <w:proofErr w:type="spellEnd"/>
            <w:r w:rsidR="00573A86">
              <w:rPr>
                <w:bCs/>
              </w:rPr>
              <w:t xml:space="preserve"> =</w:t>
            </w:r>
            <w:proofErr w:type="gramStart"/>
            <w:r w:rsidR="00573A86">
              <w:rPr>
                <w:bCs/>
              </w:rPr>
              <w:t>&lt; 2</w:t>
            </w:r>
            <w:proofErr w:type="gramEnd"/>
            <w:r w:rsidR="00573A86">
              <w:rPr>
                <w:bCs/>
              </w:rPr>
              <w:t>,0.</w:t>
            </w:r>
          </w:p>
          <w:p w:rsidR="007B5A53" w:rsidRDefault="007B5A53" w:rsidP="00573A86">
            <w:pPr>
              <w:rPr>
                <w:b/>
                <w:bCs/>
              </w:rPr>
            </w:pPr>
            <w:r w:rsidRPr="007B5A53">
              <w:rPr>
                <w:b/>
                <w:bCs/>
              </w:rPr>
              <w:t>12.4 Talajban való mobilitás</w:t>
            </w:r>
          </w:p>
          <w:p w:rsidR="007B5A53" w:rsidRDefault="007B5A53" w:rsidP="00573A86">
            <w:pPr>
              <w:ind w:right="-108"/>
              <w:rPr>
                <w:bCs/>
              </w:rPr>
            </w:pPr>
            <w:r w:rsidRPr="007B5A53">
              <w:rPr>
                <w:bCs/>
              </w:rPr>
              <w:t>A termék vízben oldódik</w:t>
            </w:r>
            <w:r w:rsidR="00573A86">
              <w:rPr>
                <w:bCs/>
              </w:rPr>
              <w:t>, és vizes közegben feloldódik. A vízből a levegőbe való párolgása nem lehetséges. Fe</w:t>
            </w:r>
            <w:r w:rsidR="00573A86">
              <w:rPr>
                <w:bCs/>
              </w:rPr>
              <w:t>l</w:t>
            </w:r>
            <w:r w:rsidR="00C71189">
              <w:rPr>
                <w:bCs/>
              </w:rPr>
              <w:t>szívódásig a talajon mobil állapotban található.</w:t>
            </w:r>
          </w:p>
          <w:p w:rsidR="009D4442" w:rsidRPr="009D4442" w:rsidRDefault="009D4442" w:rsidP="00573A86">
            <w:pPr>
              <w:rPr>
                <w:b/>
                <w:bCs/>
              </w:rPr>
            </w:pPr>
            <w:r w:rsidRPr="009D4442">
              <w:rPr>
                <w:b/>
                <w:bCs/>
              </w:rPr>
              <w:t xml:space="preserve">12.5 A PBT- és a </w:t>
            </w:r>
            <w:proofErr w:type="spellStart"/>
            <w:r w:rsidRPr="009D4442">
              <w:rPr>
                <w:b/>
                <w:bCs/>
              </w:rPr>
              <w:t>vPvB-értékelés</w:t>
            </w:r>
            <w:proofErr w:type="spellEnd"/>
            <w:r w:rsidRPr="009D4442">
              <w:rPr>
                <w:b/>
                <w:bCs/>
              </w:rPr>
              <w:t xml:space="preserve"> eredményei</w:t>
            </w:r>
          </w:p>
          <w:p w:rsidR="009D4442" w:rsidRPr="009D4442" w:rsidRDefault="00981E8F" w:rsidP="00573A86">
            <w:pPr>
              <w:rPr>
                <w:bCs/>
              </w:rPr>
            </w:pPr>
            <w:r>
              <w:rPr>
                <w:bCs/>
              </w:rPr>
              <w:t xml:space="preserve">A termék az </w:t>
            </w:r>
            <w:proofErr w:type="spellStart"/>
            <w:r>
              <w:rPr>
                <w:bCs/>
              </w:rPr>
              <w:t>Annex</w:t>
            </w:r>
            <w:proofErr w:type="spellEnd"/>
            <w:r>
              <w:rPr>
                <w:bCs/>
              </w:rPr>
              <w:t xml:space="preserve"> XIII EC 1907/2006 Szabályozás alapján nem „tartós, </w:t>
            </w:r>
            <w:proofErr w:type="spellStart"/>
            <w:r>
              <w:rPr>
                <w:bCs/>
              </w:rPr>
              <w:t>bio-akkumulitatív</w:t>
            </w:r>
            <w:proofErr w:type="spellEnd"/>
            <w:r>
              <w:rPr>
                <w:bCs/>
              </w:rPr>
              <w:t xml:space="preserve"> és mérgező, sem pedig „nagyon tartós és nagyon </w:t>
            </w:r>
            <w:proofErr w:type="spellStart"/>
            <w:r>
              <w:rPr>
                <w:bCs/>
              </w:rPr>
              <w:t>bio-akkumulitatív</w:t>
            </w:r>
            <w:proofErr w:type="spellEnd"/>
            <w:r w:rsidR="00513CD1">
              <w:rPr>
                <w:bCs/>
              </w:rPr>
              <w:t>”</w:t>
            </w:r>
            <w:r>
              <w:rPr>
                <w:bCs/>
              </w:rPr>
              <w:t>.</w:t>
            </w:r>
          </w:p>
          <w:p w:rsidR="007B5A53" w:rsidRPr="009D4442" w:rsidRDefault="009D4442" w:rsidP="00573A86">
            <w:pPr>
              <w:rPr>
                <w:b/>
              </w:rPr>
            </w:pPr>
            <w:r w:rsidRPr="009D4442">
              <w:rPr>
                <w:b/>
              </w:rPr>
              <w:t>12.6 Egyéb káros hatások</w:t>
            </w:r>
          </w:p>
        </w:tc>
      </w:tr>
    </w:tbl>
    <w:p w:rsidR="00385DB5" w:rsidRDefault="00513CD1" w:rsidP="00587A56">
      <w:r>
        <w:t>Nem jelentős.</w:t>
      </w:r>
    </w:p>
    <w:p w:rsidR="00513CD1" w:rsidRDefault="00513CD1" w:rsidP="00587A56"/>
    <w:p w:rsidR="009D4442" w:rsidRDefault="00385DB5" w:rsidP="00513CD1">
      <w:pPr>
        <w:pStyle w:val="szakasz"/>
      </w:pPr>
      <w:r w:rsidRPr="00385DB5">
        <w:t>13. SZAKASZ: Ártalmatlanítási szempontok</w:t>
      </w:r>
    </w:p>
    <w:p w:rsidR="00385DB5" w:rsidRDefault="00385DB5" w:rsidP="00587A56"/>
    <w:p w:rsidR="00385DB5" w:rsidRPr="00513CD1" w:rsidRDefault="00513CD1" w:rsidP="00587A56">
      <w:pPr>
        <w:rPr>
          <w:b/>
        </w:rPr>
      </w:pPr>
      <w:r>
        <w:rPr>
          <w:b/>
        </w:rPr>
        <w:t>13.1. Hulladék</w:t>
      </w:r>
      <w:r w:rsidR="00385DB5" w:rsidRPr="00513CD1">
        <w:rPr>
          <w:b/>
        </w:rPr>
        <w:t>kezelési eljárások</w:t>
      </w:r>
    </w:p>
    <w:p w:rsidR="00385DB5" w:rsidRPr="00385DB5" w:rsidRDefault="00385DB5" w:rsidP="00587A56">
      <w:r w:rsidRPr="00385DB5">
        <w:t xml:space="preserve">Kezelése a helyi </w:t>
      </w:r>
      <w:r w:rsidR="00513CD1">
        <w:t xml:space="preserve">és nemzetközi </w:t>
      </w:r>
      <w:r w:rsidRPr="00385DB5">
        <w:t>szabályozás szerint.</w:t>
      </w:r>
      <w:r w:rsidR="00513CD1">
        <w:t xml:space="preserve"> Az EU-ban a használt fékfolyadékok a Veszélyes Hulladék kategóriába vannak besorolva. EWC szám: 16.01.13.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22"/>
      </w:tblGrid>
      <w:tr w:rsidR="00385DB5" w:rsidRPr="00385DB5" w:rsidTr="00385DB5">
        <w:trPr>
          <w:trHeight w:val="80"/>
        </w:trPr>
        <w:tc>
          <w:tcPr>
            <w:tcW w:w="8922" w:type="dxa"/>
          </w:tcPr>
          <w:p w:rsidR="00385DB5" w:rsidRDefault="00513CD1" w:rsidP="00587A56">
            <w:r>
              <w:t>Az újrahasznosítást, megsemmisítést javasolt elvégezni felügyelet alatt</w:t>
            </w:r>
            <w:r w:rsidR="00385DB5" w:rsidRPr="00385DB5">
              <w:t xml:space="preserve">. </w:t>
            </w:r>
            <w:r>
              <w:t xml:space="preserve">Ne lerakókban és csatornákban szabaduljon meg a terméktől. Javasoljuk, hogy </w:t>
            </w:r>
            <w:r w:rsidR="009E7C3C">
              <w:t xml:space="preserve">a szennyeződött csomagolást semmisítse meg, </w:t>
            </w:r>
            <w:proofErr w:type="gramStart"/>
            <w:r w:rsidR="009E7C3C">
              <w:t>vagy  tisztítás</w:t>
            </w:r>
            <w:proofErr w:type="gramEnd"/>
            <w:r w:rsidR="009E7C3C">
              <w:t xml:space="preserve"> után hasznosítsa újra.</w:t>
            </w:r>
          </w:p>
          <w:p w:rsidR="00385DB5" w:rsidRDefault="00385DB5" w:rsidP="00587A56"/>
          <w:p w:rsidR="00385DB5" w:rsidRDefault="00385DB5" w:rsidP="009E7C3C">
            <w:pPr>
              <w:pStyle w:val="szakasz"/>
            </w:pPr>
            <w:r w:rsidRPr="00385DB5">
              <w:t>14. Szállításra vonatkozó információk</w:t>
            </w:r>
          </w:p>
          <w:p w:rsidR="009E7C3C" w:rsidRPr="00CA49E0" w:rsidRDefault="009E7C3C" w:rsidP="00587A56">
            <w:pPr>
              <w:rPr>
                <w:b/>
              </w:rPr>
            </w:pPr>
            <w:r w:rsidRPr="00CA49E0">
              <w:rPr>
                <w:b/>
              </w:rPr>
              <w:t>14.1 UN szám/osztály</w:t>
            </w:r>
          </w:p>
          <w:p w:rsidR="009E7C3C" w:rsidRPr="00CA49E0" w:rsidRDefault="009E7C3C" w:rsidP="00587A56">
            <w:pPr>
              <w:rPr>
                <w:b/>
              </w:rPr>
            </w:pPr>
            <w:r>
              <w:t>Nincs</w:t>
            </w:r>
          </w:p>
          <w:p w:rsidR="009E7C3C" w:rsidRPr="00CA49E0" w:rsidRDefault="009E7C3C" w:rsidP="00587A56">
            <w:pPr>
              <w:rPr>
                <w:b/>
              </w:rPr>
            </w:pPr>
            <w:r w:rsidRPr="00CA49E0">
              <w:rPr>
                <w:b/>
              </w:rPr>
              <w:t>14.2 UN Tényleges hajóztatási név</w:t>
            </w:r>
          </w:p>
          <w:p w:rsidR="009E7C3C" w:rsidRDefault="009E7C3C" w:rsidP="00587A56">
            <w:r>
              <w:t>Nincs adat.</w:t>
            </w:r>
          </w:p>
          <w:p w:rsidR="009E7C3C" w:rsidRPr="00CA49E0" w:rsidRDefault="009E7C3C" w:rsidP="00587A56">
            <w:pPr>
              <w:rPr>
                <w:b/>
              </w:rPr>
            </w:pPr>
            <w:r w:rsidRPr="00CA49E0">
              <w:rPr>
                <w:b/>
              </w:rPr>
              <w:t>14.3 Szállítási veszélyességi besorolás</w:t>
            </w:r>
          </w:p>
          <w:p w:rsidR="00CA49E0" w:rsidRPr="00CA49E0" w:rsidRDefault="00CA49E0" w:rsidP="00587A56">
            <w:pPr>
              <w:rPr>
                <w:b/>
              </w:rPr>
            </w:pPr>
            <w:r w:rsidRPr="00CA49E0">
              <w:rPr>
                <w:b/>
              </w:rPr>
              <w:t>Szárazföldi szállítás</w:t>
            </w:r>
          </w:p>
          <w:p w:rsidR="00385DB5" w:rsidRDefault="00385DB5" w:rsidP="00587A56">
            <w:r>
              <w:t>ADR</w:t>
            </w:r>
            <w:r w:rsidR="00CA49E0">
              <w:tab/>
              <w:t>Nincs beosztályozva</w:t>
            </w:r>
            <w:r>
              <w:t>.</w:t>
            </w:r>
          </w:p>
          <w:p w:rsidR="00385DB5" w:rsidRDefault="00385DB5" w:rsidP="00587A56">
            <w:r>
              <w:t>RID</w:t>
            </w:r>
            <w:r w:rsidR="00D2197A">
              <w:tab/>
              <w:t>Nincs beosztályozva</w:t>
            </w:r>
          </w:p>
          <w:p w:rsidR="00D2197A" w:rsidRPr="00D2197A" w:rsidRDefault="00D2197A" w:rsidP="00587A56">
            <w:pPr>
              <w:rPr>
                <w:b/>
              </w:rPr>
            </w:pPr>
            <w:r w:rsidRPr="00D2197A">
              <w:rPr>
                <w:b/>
              </w:rPr>
              <w:t>Tengeri szállítás</w:t>
            </w:r>
          </w:p>
          <w:p w:rsidR="00D2197A" w:rsidRDefault="00D2197A" w:rsidP="00587A56">
            <w:r>
              <w:t>IMO//IMDG</w:t>
            </w:r>
            <w:r>
              <w:tab/>
              <w:t>Nincs beosztályozva</w:t>
            </w:r>
          </w:p>
          <w:p w:rsidR="00D2197A" w:rsidRDefault="00D2197A" w:rsidP="00587A56">
            <w:r>
              <w:lastRenderedPageBreak/>
              <w:t>Tengeri szennyezés</w:t>
            </w:r>
            <w:r>
              <w:tab/>
              <w:t>Nincs</w:t>
            </w:r>
          </w:p>
          <w:p w:rsidR="00D2197A" w:rsidRPr="00D2197A" w:rsidRDefault="00D2197A" w:rsidP="00587A56">
            <w:pPr>
              <w:rPr>
                <w:b/>
              </w:rPr>
            </w:pPr>
            <w:r w:rsidRPr="00D2197A">
              <w:rPr>
                <w:b/>
              </w:rPr>
              <w:t>Légi szállítás</w:t>
            </w:r>
          </w:p>
          <w:p w:rsidR="00D2197A" w:rsidRDefault="00385DB5" w:rsidP="00587A56">
            <w:r>
              <w:t>IATA</w:t>
            </w:r>
            <w:r w:rsidR="00D2197A">
              <w:t>/IACO</w:t>
            </w:r>
            <w:r w:rsidR="00D2197A">
              <w:tab/>
              <w:t>Nincs beosztályozva</w:t>
            </w:r>
          </w:p>
          <w:p w:rsidR="00D2197A" w:rsidRPr="00D2197A" w:rsidRDefault="00D2197A" w:rsidP="00587A56">
            <w:pPr>
              <w:rPr>
                <w:b/>
              </w:rPr>
            </w:pPr>
            <w:r w:rsidRPr="00D2197A">
              <w:rPr>
                <w:b/>
              </w:rPr>
              <w:t>Belső vízi utak</w:t>
            </w:r>
          </w:p>
          <w:p w:rsidR="00385DB5" w:rsidRDefault="00D2197A" w:rsidP="00587A56">
            <w:r>
              <w:t>AND</w:t>
            </w:r>
            <w:r>
              <w:tab/>
              <w:t>Nincs beosztályozva</w:t>
            </w:r>
          </w:p>
          <w:p w:rsidR="00D2197A" w:rsidRDefault="00D2197A" w:rsidP="00587A56"/>
          <w:p w:rsidR="00385DB5" w:rsidRDefault="00D2197A" w:rsidP="00587A56">
            <w:pPr>
              <w:rPr>
                <w:b/>
              </w:rPr>
            </w:pPr>
            <w:r w:rsidRPr="00D2197A">
              <w:rPr>
                <w:b/>
              </w:rPr>
              <w:t>14.4 Csomagolási csoport</w:t>
            </w:r>
          </w:p>
          <w:p w:rsidR="00D2197A" w:rsidRDefault="00D2197A" w:rsidP="00587A56">
            <w:r>
              <w:t>Nincs adat.</w:t>
            </w:r>
          </w:p>
          <w:p w:rsidR="00D2197A" w:rsidRPr="00D2197A" w:rsidRDefault="00D2197A" w:rsidP="00587A56">
            <w:pPr>
              <w:rPr>
                <w:b/>
              </w:rPr>
            </w:pPr>
            <w:r w:rsidRPr="00D2197A">
              <w:rPr>
                <w:b/>
              </w:rPr>
              <w:t>14.5 Környezeti veszélyek</w:t>
            </w:r>
          </w:p>
          <w:p w:rsidR="00D2197A" w:rsidRDefault="00D2197A" w:rsidP="00587A56">
            <w:r>
              <w:t>Nem veszélyes a környezetre nézve</w:t>
            </w:r>
          </w:p>
          <w:p w:rsidR="00D2197A" w:rsidRPr="00D2197A" w:rsidRDefault="00D2197A" w:rsidP="00587A56">
            <w:pPr>
              <w:rPr>
                <w:b/>
              </w:rPr>
            </w:pPr>
            <w:r w:rsidRPr="00D2197A">
              <w:rPr>
                <w:b/>
              </w:rPr>
              <w:t>14.6 Különleges felhasználói óvintézkedések</w:t>
            </w:r>
          </w:p>
          <w:p w:rsidR="00D2197A" w:rsidRDefault="00D2197A" w:rsidP="00587A56">
            <w:r>
              <w:t>Semmi lényeges</w:t>
            </w:r>
          </w:p>
          <w:p w:rsidR="00D2197A" w:rsidRPr="00D2197A" w:rsidRDefault="00D2197A" w:rsidP="00587A56">
            <w:pPr>
              <w:rPr>
                <w:b/>
              </w:rPr>
            </w:pPr>
            <w:r w:rsidRPr="00D2197A">
              <w:rPr>
                <w:b/>
              </w:rPr>
              <w:t>14.7 Nagytételes szállítás (</w:t>
            </w:r>
            <w:proofErr w:type="spellStart"/>
            <w:r w:rsidRPr="00D2197A">
              <w:rPr>
                <w:b/>
              </w:rPr>
              <w:t>Marpol</w:t>
            </w:r>
            <w:proofErr w:type="spellEnd"/>
            <w:r w:rsidRPr="00D2197A">
              <w:rPr>
                <w:b/>
              </w:rPr>
              <w:t xml:space="preserve"> II. melléklete)</w:t>
            </w:r>
          </w:p>
          <w:p w:rsidR="00D2197A" w:rsidRPr="00D2197A" w:rsidRDefault="00D2197A" w:rsidP="00587A56">
            <w:r>
              <w:t>Nincs beosztályozva</w:t>
            </w:r>
          </w:p>
          <w:p w:rsidR="00385DB5" w:rsidRDefault="00385DB5" w:rsidP="00587A56"/>
          <w:p w:rsidR="00385DB5" w:rsidRPr="00385DB5" w:rsidRDefault="00385DB5" w:rsidP="00D2197A">
            <w:pPr>
              <w:pStyle w:val="szakasz"/>
            </w:pPr>
            <w:r w:rsidRPr="00385DB5">
              <w:t xml:space="preserve">15. SZAKASZ: Szabályozással kapcsolatos információk </w:t>
            </w:r>
          </w:p>
          <w:p w:rsidR="00385DB5" w:rsidRDefault="00385DB5" w:rsidP="00587A56"/>
          <w:p w:rsidR="00385DB5" w:rsidRPr="00384C3D" w:rsidRDefault="00385DB5" w:rsidP="00587A56">
            <w:pPr>
              <w:rPr>
                <w:b/>
              </w:rPr>
            </w:pPr>
            <w:r w:rsidRPr="00384C3D">
              <w:rPr>
                <w:b/>
              </w:rPr>
              <w:t>15.1 Az adott anyaggal vagy keverékkel kapcsolatos biztonsági, egészségügyi és környezetvédelmi előírások/jogszabályok</w:t>
            </w:r>
          </w:p>
        </w:tc>
      </w:tr>
      <w:tr w:rsidR="00CA49E0" w:rsidRPr="00385DB5" w:rsidTr="00385DB5">
        <w:trPr>
          <w:trHeight w:val="80"/>
        </w:trPr>
        <w:tc>
          <w:tcPr>
            <w:tcW w:w="8922" w:type="dxa"/>
          </w:tcPr>
          <w:p w:rsidR="00CA49E0" w:rsidRDefault="00CA49E0" w:rsidP="00587A56"/>
        </w:tc>
      </w:tr>
    </w:tbl>
    <w:p w:rsidR="00384C3D" w:rsidRDefault="00384C3D" w:rsidP="00587A56">
      <w:pPr>
        <w:rPr>
          <w:u w:val="single"/>
        </w:rPr>
      </w:pPr>
      <w:r w:rsidRPr="00384C3D">
        <w:rPr>
          <w:u w:val="single"/>
        </w:rPr>
        <w:t>15.1. Kémiai leltár</w:t>
      </w:r>
    </w:p>
    <w:p w:rsidR="00384C3D" w:rsidRDefault="00384C3D" w:rsidP="00587A56">
      <w:r>
        <w:t>Minden összetevő regisztrálva van az alábbi raktárokban:</w:t>
      </w:r>
    </w:p>
    <w:p w:rsidR="00384C3D" w:rsidRDefault="00384C3D" w:rsidP="00587A56">
      <w:r>
        <w:t>EU (EINECS/EILINCS</w:t>
      </w:r>
      <w:r>
        <w:tab/>
        <w:t>USA (TSCA)</w:t>
      </w:r>
      <w:r>
        <w:tab/>
        <w:t>Kanada (DSL/NDSL)</w:t>
      </w:r>
      <w:r>
        <w:tab/>
        <w:t>Auszt</w:t>
      </w:r>
      <w:r w:rsidR="004966E4">
        <w:t>r</w:t>
      </w:r>
      <w:r>
        <w:t>ália</w:t>
      </w:r>
      <w:r w:rsidR="004966E4">
        <w:t xml:space="preserve"> (AICS)</w:t>
      </w:r>
    </w:p>
    <w:p w:rsidR="004966E4" w:rsidRDefault="004966E4" w:rsidP="004966E4">
      <w:pPr>
        <w:tabs>
          <w:tab w:val="left" w:pos="2127"/>
          <w:tab w:val="left" w:pos="3544"/>
          <w:tab w:val="left" w:pos="5670"/>
        </w:tabs>
      </w:pPr>
      <w:r>
        <w:t>Japán (ENCS)</w:t>
      </w:r>
      <w:r>
        <w:tab/>
        <w:t>Kína (IECSC)</w:t>
      </w:r>
      <w:r>
        <w:tab/>
        <w:t>Korea (ECL)</w:t>
      </w:r>
      <w:r>
        <w:tab/>
        <w:t>Fülöp-szigetek (PICCS)</w:t>
      </w:r>
    </w:p>
    <w:p w:rsidR="004966E4" w:rsidRDefault="004966E4" w:rsidP="004966E4">
      <w:pPr>
        <w:tabs>
          <w:tab w:val="left" w:pos="2127"/>
          <w:tab w:val="left" w:pos="3544"/>
          <w:tab w:val="left" w:pos="5670"/>
        </w:tabs>
      </w:pPr>
      <w:r>
        <w:t>Új-Zéland (</w:t>
      </w:r>
      <w:proofErr w:type="spellStart"/>
      <w:r>
        <w:t>NZLoC</w:t>
      </w:r>
      <w:proofErr w:type="spellEnd"/>
      <w:r>
        <w:t>)</w:t>
      </w:r>
      <w:r>
        <w:tab/>
        <w:t>Tajvan</w:t>
      </w:r>
    </w:p>
    <w:p w:rsidR="004966E4" w:rsidRPr="004966E4" w:rsidRDefault="004966E4" w:rsidP="004966E4">
      <w:pPr>
        <w:tabs>
          <w:tab w:val="left" w:pos="2127"/>
          <w:tab w:val="left" w:pos="3544"/>
          <w:tab w:val="left" w:pos="5670"/>
        </w:tabs>
        <w:rPr>
          <w:u w:val="single"/>
        </w:rPr>
      </w:pPr>
      <w:r w:rsidRPr="004966E4">
        <w:rPr>
          <w:u w:val="single"/>
        </w:rPr>
        <w:t>15.1.2 WGK Veszélyességi Osztály</w:t>
      </w:r>
    </w:p>
    <w:p w:rsidR="004966E4" w:rsidRDefault="004966E4" w:rsidP="004966E4">
      <w:pPr>
        <w:tabs>
          <w:tab w:val="left" w:pos="2127"/>
          <w:tab w:val="left" w:pos="3544"/>
          <w:tab w:val="left" w:pos="5670"/>
        </w:tabs>
      </w:pPr>
      <w:r>
        <w:t xml:space="preserve">WGK 1-nek értékelve (önértékelés). Enyhén károsítja a </w:t>
      </w:r>
      <w:proofErr w:type="spellStart"/>
      <w:r>
        <w:t>vízet</w:t>
      </w:r>
      <w:proofErr w:type="spellEnd"/>
      <w:r>
        <w:t>.</w:t>
      </w:r>
    </w:p>
    <w:p w:rsidR="004966E4" w:rsidRDefault="004966E4" w:rsidP="004966E4">
      <w:pPr>
        <w:tabs>
          <w:tab w:val="left" w:pos="2127"/>
          <w:tab w:val="left" w:pos="3544"/>
          <w:tab w:val="left" w:pos="5670"/>
        </w:tabs>
        <w:rPr>
          <w:u w:val="single"/>
        </w:rPr>
      </w:pPr>
      <w:r w:rsidRPr="006258D8">
        <w:rPr>
          <w:u w:val="single"/>
        </w:rPr>
        <w:t>15.1.3</w:t>
      </w:r>
      <w:r w:rsidR="006258D8" w:rsidRPr="006258D8">
        <w:rPr>
          <w:u w:val="single"/>
        </w:rPr>
        <w:t xml:space="preserve"> Egyéb</w:t>
      </w:r>
    </w:p>
    <w:p w:rsidR="006258D8" w:rsidRDefault="006258D8" w:rsidP="004966E4">
      <w:pPr>
        <w:tabs>
          <w:tab w:val="left" w:pos="2127"/>
          <w:tab w:val="left" w:pos="3544"/>
          <w:tab w:val="left" w:pos="5670"/>
        </w:tabs>
      </w:pPr>
      <w:r>
        <w:t>A használatnak a helyi és nemzetközi előírásoknak megfelelően kell történnie. Az Egyesült Királyságban ez m</w:t>
      </w:r>
      <w:r>
        <w:t>a</w:t>
      </w:r>
      <w:r>
        <w:t>gában foglalja az Egészségügyi és Munkaköri Szabályozást, és az Folyadékellenőrzési Veszélyességi Egés</w:t>
      </w:r>
      <w:r>
        <w:t>z</w:t>
      </w:r>
      <w:r>
        <w:t>ségügyi szabályozásokat (COSHH).</w:t>
      </w:r>
    </w:p>
    <w:p w:rsidR="00385DB5" w:rsidRDefault="00385DB5" w:rsidP="00587A56"/>
    <w:p w:rsidR="0016612D" w:rsidRPr="006258D8" w:rsidRDefault="0016612D" w:rsidP="00587A56">
      <w:pPr>
        <w:rPr>
          <w:b/>
        </w:rPr>
      </w:pPr>
      <w:r w:rsidRPr="006258D8">
        <w:rPr>
          <w:b/>
        </w:rPr>
        <w:t>15.2 Kémiai biztonsági értékelés</w:t>
      </w:r>
    </w:p>
    <w:p w:rsidR="0016612D" w:rsidRDefault="0016612D" w:rsidP="00587A56">
      <w:r w:rsidRPr="0016612D">
        <w:t>A terméken kémiai biztonsági értékelést nem végeztek</w:t>
      </w:r>
      <w:r>
        <w:t>.</w:t>
      </w:r>
    </w:p>
    <w:p w:rsidR="0016612D" w:rsidRDefault="0016612D" w:rsidP="00587A56"/>
    <w:p w:rsidR="0016612D" w:rsidRDefault="0016612D" w:rsidP="006258D8">
      <w:pPr>
        <w:pStyle w:val="szakasz"/>
      </w:pPr>
      <w:r w:rsidRPr="0016612D">
        <w:t>16. SZAKASZ: Egyéb információk</w:t>
      </w:r>
    </w:p>
    <w:p w:rsidR="006258D8" w:rsidRPr="006258D8" w:rsidRDefault="006258D8" w:rsidP="00587A56">
      <w:pPr>
        <w:rPr>
          <w:b/>
        </w:rPr>
      </w:pPr>
      <w:r w:rsidRPr="006258D8">
        <w:rPr>
          <w:b/>
        </w:rPr>
        <w:t xml:space="preserve">16.1 Rövidítések és </w:t>
      </w:r>
      <w:proofErr w:type="spellStart"/>
      <w:r w:rsidRPr="006258D8">
        <w:rPr>
          <w:b/>
        </w:rPr>
        <w:t>akronimák</w:t>
      </w:r>
      <w:proofErr w:type="spellEnd"/>
      <w:r w:rsidRPr="006258D8">
        <w:rPr>
          <w:b/>
        </w:rPr>
        <w:t>, amit az adatlapon használtunk</w:t>
      </w:r>
    </w:p>
    <w:p w:rsidR="0016612D" w:rsidRDefault="006258D8" w:rsidP="006258D8">
      <w:pPr>
        <w:tabs>
          <w:tab w:val="left" w:pos="1418"/>
        </w:tabs>
      </w:pPr>
      <w:r>
        <w:t>DPD</w:t>
      </w:r>
      <w:r>
        <w:tab/>
        <w:t>Veszélyes Előkészületek Direktívája</w:t>
      </w:r>
    </w:p>
    <w:p w:rsidR="006258D8" w:rsidRDefault="006258D8" w:rsidP="006258D8">
      <w:pPr>
        <w:tabs>
          <w:tab w:val="left" w:pos="1418"/>
        </w:tabs>
      </w:pPr>
      <w:r>
        <w:t>CLP</w:t>
      </w:r>
      <w:r>
        <w:tab/>
      </w:r>
      <w:proofErr w:type="gramStart"/>
      <w:r>
        <w:t>A</w:t>
      </w:r>
      <w:proofErr w:type="gramEnd"/>
      <w:r>
        <w:t xml:space="preserve"> keverékek osztályozására, címkézésére és csomagolására vonatkozó szabályozások.</w:t>
      </w:r>
    </w:p>
    <w:p w:rsidR="006258D8" w:rsidRDefault="006258D8" w:rsidP="006258D8">
      <w:pPr>
        <w:tabs>
          <w:tab w:val="left" w:pos="1418"/>
        </w:tabs>
      </w:pPr>
      <w:r>
        <w:t>GHS</w:t>
      </w:r>
      <w:r>
        <w:tab/>
      </w:r>
      <w:proofErr w:type="gramStart"/>
      <w:r>
        <w:t>A</w:t>
      </w:r>
      <w:proofErr w:type="gramEnd"/>
      <w:r>
        <w:t xml:space="preserve"> kemikáliák osztályozása és címkézése az UN Globálisan Összehangolt rendszerek alapján.</w:t>
      </w:r>
    </w:p>
    <w:p w:rsidR="006258D8" w:rsidRDefault="006258D8" w:rsidP="006258D8">
      <w:pPr>
        <w:tabs>
          <w:tab w:val="left" w:pos="1418"/>
          <w:tab w:val="left" w:pos="1701"/>
        </w:tabs>
      </w:pPr>
      <w:r>
        <w:t>STOT-RE</w:t>
      </w:r>
      <w:r>
        <w:tab/>
        <w:t>Különleges Célszervi Mérgezés – Ismétlődő Érintkezés</w:t>
      </w:r>
    </w:p>
    <w:p w:rsidR="006258D8" w:rsidRDefault="006258D8" w:rsidP="006258D8">
      <w:pPr>
        <w:tabs>
          <w:tab w:val="left" w:pos="1418"/>
          <w:tab w:val="left" w:pos="1701"/>
        </w:tabs>
      </w:pPr>
      <w:r>
        <w:t>R22</w:t>
      </w:r>
      <w:r>
        <w:tab/>
        <w:t>Lenyelése veszélyes</w:t>
      </w:r>
    </w:p>
    <w:p w:rsidR="009525B7" w:rsidRDefault="009525B7" w:rsidP="006258D8">
      <w:pPr>
        <w:tabs>
          <w:tab w:val="left" w:pos="1418"/>
          <w:tab w:val="left" w:pos="1701"/>
        </w:tabs>
      </w:pPr>
      <w:r>
        <w:t>R36</w:t>
      </w:r>
      <w:r>
        <w:tab/>
        <w:t>Szemirritáció</w:t>
      </w:r>
    </w:p>
    <w:p w:rsidR="009525B7" w:rsidRDefault="009525B7" w:rsidP="006258D8">
      <w:pPr>
        <w:tabs>
          <w:tab w:val="left" w:pos="1418"/>
          <w:tab w:val="left" w:pos="1701"/>
        </w:tabs>
      </w:pPr>
      <w:r>
        <w:t>R41</w:t>
      </w:r>
      <w:r>
        <w:tab/>
        <w:t>Komoly szemsérülés kockázata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60"/>
      </w:tblGrid>
      <w:tr w:rsidR="0016612D" w:rsidRPr="00F40FF1" w:rsidTr="00587A56">
        <w:trPr>
          <w:trHeight w:val="415"/>
        </w:trPr>
        <w:tc>
          <w:tcPr>
            <w:tcW w:w="8860" w:type="dxa"/>
          </w:tcPr>
          <w:p w:rsidR="0016612D" w:rsidRPr="00410157" w:rsidRDefault="009525B7" w:rsidP="009525B7">
            <w:pPr>
              <w:tabs>
                <w:tab w:val="left" w:pos="1426"/>
              </w:tabs>
            </w:pPr>
            <w:r>
              <w:t>R63</w:t>
            </w:r>
            <w:r>
              <w:tab/>
            </w:r>
            <w:proofErr w:type="gramStart"/>
            <w:r>
              <w:t>A</w:t>
            </w:r>
            <w:proofErr w:type="gramEnd"/>
            <w:r>
              <w:t xml:space="preserve"> magzatra vonatkozó lehetséges ártalom.</w:t>
            </w:r>
            <w:r w:rsidR="0016612D" w:rsidRPr="00410157">
              <w:t xml:space="preserve"> </w:t>
            </w:r>
          </w:p>
        </w:tc>
      </w:tr>
      <w:tr w:rsidR="0016612D" w:rsidRPr="00F40FF1" w:rsidTr="00587A56">
        <w:trPr>
          <w:trHeight w:val="538"/>
        </w:trPr>
        <w:tc>
          <w:tcPr>
            <w:tcW w:w="8860" w:type="dxa"/>
          </w:tcPr>
          <w:p w:rsidR="0016612D" w:rsidRPr="00410157" w:rsidRDefault="009525B7" w:rsidP="009525B7">
            <w:pPr>
              <w:tabs>
                <w:tab w:val="left" w:pos="1440"/>
              </w:tabs>
            </w:pPr>
            <w:r>
              <w:t>H302</w:t>
            </w:r>
            <w:r>
              <w:tab/>
              <w:t>Lenyelve veszélyes</w:t>
            </w:r>
            <w:r w:rsidR="0016612D" w:rsidRPr="00410157">
              <w:t xml:space="preserve">. </w:t>
            </w:r>
          </w:p>
          <w:p w:rsidR="0016612D" w:rsidRDefault="009525B7" w:rsidP="009525B7">
            <w:pPr>
              <w:tabs>
                <w:tab w:val="left" w:pos="1440"/>
              </w:tabs>
            </w:pPr>
            <w:r>
              <w:t>H318</w:t>
            </w:r>
            <w:r>
              <w:tab/>
              <w:t>Komoly szemsérülést okozhat</w:t>
            </w:r>
            <w:r w:rsidR="0016612D" w:rsidRPr="00410157">
              <w:t xml:space="preserve">. </w:t>
            </w:r>
          </w:p>
          <w:p w:rsidR="009525B7" w:rsidRPr="00410157" w:rsidRDefault="009525B7" w:rsidP="009525B7">
            <w:pPr>
              <w:tabs>
                <w:tab w:val="left" w:pos="1440"/>
              </w:tabs>
            </w:pPr>
            <w:r>
              <w:t>H319</w:t>
            </w:r>
            <w:r>
              <w:tab/>
              <w:t>Komoly szemirritációt okozhat</w:t>
            </w:r>
            <w:r w:rsidRPr="00410157">
              <w:t xml:space="preserve">. </w:t>
            </w:r>
          </w:p>
          <w:p w:rsidR="0016612D" w:rsidRPr="00410157" w:rsidRDefault="009525B7" w:rsidP="009525B7">
            <w:pPr>
              <w:tabs>
                <w:tab w:val="left" w:pos="1440"/>
              </w:tabs>
            </w:pPr>
            <w:r>
              <w:t>H361d</w:t>
            </w:r>
            <w:r>
              <w:tab/>
              <w:t>Feltételezett magzatkárosító-hatás</w:t>
            </w:r>
            <w:r w:rsidR="0016612D" w:rsidRPr="00410157">
              <w:t xml:space="preserve">. </w:t>
            </w:r>
          </w:p>
          <w:p w:rsidR="00410157" w:rsidRPr="00410157" w:rsidRDefault="009525B7" w:rsidP="009525B7">
            <w:pPr>
              <w:tabs>
                <w:tab w:val="left" w:pos="1440"/>
              </w:tabs>
            </w:pPr>
            <w:r>
              <w:t>H373</w:t>
            </w:r>
            <w:r>
              <w:tab/>
              <w:t>Hosszas vagy ismétlődő érintkezés esetén k</w:t>
            </w:r>
            <w:r w:rsidR="0016612D" w:rsidRPr="00410157">
              <w:t>árosít</w:t>
            </w:r>
            <w:r>
              <w:t>hat</w:t>
            </w:r>
            <w:r w:rsidR="0016612D" w:rsidRPr="00410157">
              <w:t>ja a szerveket.</w:t>
            </w:r>
          </w:p>
        </w:tc>
      </w:tr>
      <w:tr w:rsidR="00410157" w:rsidRPr="00F40FF1" w:rsidTr="00587A56">
        <w:trPr>
          <w:trHeight w:val="672"/>
        </w:trPr>
        <w:tc>
          <w:tcPr>
            <w:tcW w:w="8860" w:type="dxa"/>
          </w:tcPr>
          <w:p w:rsidR="003C3205" w:rsidRPr="003C3205" w:rsidRDefault="003C3205" w:rsidP="00587A56">
            <w:pPr>
              <w:rPr>
                <w:b/>
              </w:rPr>
            </w:pPr>
            <w:r w:rsidRPr="003C3205">
              <w:rPr>
                <w:b/>
              </w:rPr>
              <w:t>16.2 Összegzés</w:t>
            </w:r>
          </w:p>
          <w:p w:rsidR="00410157" w:rsidRPr="00410157" w:rsidRDefault="003C3205" w:rsidP="003C3205">
            <w:r>
              <w:t>Nagymértékű változások miatt ez az adatlap teljesen új adatokkal szolgál.</w:t>
            </w:r>
          </w:p>
        </w:tc>
      </w:tr>
      <w:tr w:rsidR="00410157" w:rsidRPr="00F40FF1" w:rsidTr="00587A56">
        <w:trPr>
          <w:trHeight w:val="672"/>
        </w:trPr>
        <w:tc>
          <w:tcPr>
            <w:tcW w:w="8860" w:type="dxa"/>
          </w:tcPr>
          <w:p w:rsidR="003C3205" w:rsidRPr="003C3205" w:rsidRDefault="003C3205" w:rsidP="00587A56">
            <w:pPr>
              <w:rPr>
                <w:b/>
              </w:rPr>
            </w:pPr>
            <w:r w:rsidRPr="003C3205">
              <w:rPr>
                <w:b/>
              </w:rPr>
              <w:t>16.4 Jogi felelősségi nyilatkozat</w:t>
            </w:r>
          </w:p>
          <w:p w:rsidR="00410157" w:rsidRPr="00410157" w:rsidRDefault="00410157" w:rsidP="00847A37">
            <w:r w:rsidRPr="00410157">
              <w:t>A jelen termékbiztonsági lapon található információk a jelenlegi le</w:t>
            </w:r>
            <w:r w:rsidR="003C3205">
              <w:t xml:space="preserve">gjobb tudásunk alapján és a TMD </w:t>
            </w:r>
            <w:proofErr w:type="spellStart"/>
            <w:r w:rsidR="003C3205">
              <w:t>Friction</w:t>
            </w:r>
            <w:proofErr w:type="spellEnd"/>
            <w:r w:rsidR="003C3205">
              <w:t xml:space="preserve"> </w:t>
            </w:r>
            <w:proofErr w:type="spellStart"/>
            <w:r w:rsidR="003C3205">
              <w:t>Services</w:t>
            </w:r>
            <w:proofErr w:type="spellEnd"/>
            <w:r w:rsidR="003C3205">
              <w:t xml:space="preserve"> GmbH tapasztalatai alapján készültek</w:t>
            </w:r>
            <w:r w:rsidRPr="00410157">
              <w:t xml:space="preserve">. </w:t>
            </w:r>
            <w:r w:rsidR="00847A37">
              <w:t>Nem alapul a felhasználók saját munkahelyi kockázati ká</w:t>
            </w:r>
            <w:r w:rsidR="00847A37">
              <w:t>r</w:t>
            </w:r>
            <w:r w:rsidR="00847A37">
              <w:lastRenderedPageBreak/>
              <w:t xml:space="preserve">felvétel alapjául, mint ahogy azt elvárja az Egészségügyi és Biztonsági </w:t>
            </w:r>
            <w:proofErr w:type="spellStart"/>
            <w:r w:rsidR="00847A37">
              <w:t>legalizáció</w:t>
            </w:r>
            <w:proofErr w:type="spellEnd"/>
            <w:r w:rsidR="00847A37">
              <w:t xml:space="preserve"> </w:t>
            </w:r>
            <w:proofErr w:type="spellStart"/>
            <w:r w:rsidR="00847A37">
              <w:t>is.</w:t>
            </w:r>
            <w:proofErr w:type="gramStart"/>
            <w:r w:rsidR="00847A37">
              <w:t>A</w:t>
            </w:r>
            <w:proofErr w:type="spellEnd"/>
            <w:proofErr w:type="gramEnd"/>
            <w:r w:rsidR="00847A37">
              <w:t xml:space="preserve"> TMD </w:t>
            </w:r>
            <w:proofErr w:type="spellStart"/>
            <w:r w:rsidR="00847A37">
              <w:t>Friction</w:t>
            </w:r>
            <w:proofErr w:type="spellEnd"/>
            <w:r w:rsidR="00847A37">
              <w:t xml:space="preserve"> </w:t>
            </w:r>
            <w:proofErr w:type="spellStart"/>
            <w:r w:rsidR="00847A37">
              <w:t>Services</w:t>
            </w:r>
            <w:proofErr w:type="spellEnd"/>
            <w:r w:rsidR="00847A37">
              <w:t xml:space="preserve"> GmbH azzal, hogy ezeket az információkat kiadta, nem garantálja vagy nem vállal jótállást egy speciális tulajdonságért vagy minőségbeli jellemzőért sem, amit a termék tartalmaz. A felhasználó felelő</w:t>
            </w:r>
            <w:r w:rsidR="00847A37">
              <w:t>s</w:t>
            </w:r>
            <w:r w:rsidR="00847A37">
              <w:t xml:space="preserve">sége, hogy meggyőződjön arról, hogy a rendelt termék alkalmas arra, amire ő használni szeretné. Ez az információ a TMD </w:t>
            </w:r>
            <w:proofErr w:type="spellStart"/>
            <w:r w:rsidR="00847A37">
              <w:t>Friction</w:t>
            </w:r>
            <w:proofErr w:type="spellEnd"/>
            <w:r w:rsidR="00847A37">
              <w:t xml:space="preserve"> </w:t>
            </w:r>
            <w:proofErr w:type="spellStart"/>
            <w:r w:rsidR="00847A37">
              <w:t>Services</w:t>
            </w:r>
            <w:proofErr w:type="spellEnd"/>
            <w:r w:rsidR="00847A37">
              <w:t xml:space="preserve"> GmbH Biztonsági Rendelkezései, különösképpen a 9. és a 14. rende</w:t>
            </w:r>
            <w:r w:rsidR="00847A37">
              <w:t>l</w:t>
            </w:r>
            <w:r w:rsidR="00847A37">
              <w:t>kezések.</w:t>
            </w:r>
            <w:r w:rsidRPr="00410157">
              <w:t xml:space="preserve"> </w:t>
            </w:r>
          </w:p>
        </w:tc>
      </w:tr>
    </w:tbl>
    <w:p w:rsidR="00385DB5" w:rsidRPr="00385DB5" w:rsidRDefault="00385DB5" w:rsidP="00847A37"/>
    <w:sectPr w:rsidR="00385DB5" w:rsidRPr="00385DB5" w:rsidSect="00654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5B" w:rsidRDefault="00BD485B" w:rsidP="00672D59">
      <w:r>
        <w:separator/>
      </w:r>
    </w:p>
  </w:endnote>
  <w:endnote w:type="continuationSeparator" w:id="0">
    <w:p w:rsidR="00BD485B" w:rsidRDefault="00BD485B" w:rsidP="00672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7877"/>
      <w:docPartObj>
        <w:docPartGallery w:val="Page Numbers (Bottom of Page)"/>
        <w:docPartUnique/>
      </w:docPartObj>
    </w:sdtPr>
    <w:sdtContent>
      <w:sdt>
        <w:sdtPr>
          <w:id w:val="21754092"/>
          <w:docPartObj>
            <w:docPartGallery w:val="Page Numbers (Bottom of Page)"/>
            <w:docPartUnique/>
          </w:docPartObj>
        </w:sdtPr>
        <w:sdtContent>
          <w:p w:rsidR="00FE63EB" w:rsidRDefault="00FE63EB" w:rsidP="00FE63EB">
            <w:pPr>
              <w:pStyle w:val="llb"/>
              <w:autoSpaceDE/>
              <w:autoSpaceDN/>
              <w:adjustRightInd/>
              <w:jc w:val="center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10</w:t>
              </w:r>
            </w:fldSimple>
          </w:p>
        </w:sdtContent>
      </w:sdt>
      <w:p w:rsidR="00847A37" w:rsidRDefault="00F773C4">
        <w:pPr>
          <w:pStyle w:val="llb"/>
          <w:jc w:val="right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5B" w:rsidRDefault="00BD485B" w:rsidP="00672D59">
      <w:r>
        <w:separator/>
      </w:r>
    </w:p>
  </w:footnote>
  <w:footnote w:type="continuationSeparator" w:id="0">
    <w:p w:rsidR="00BD485B" w:rsidRDefault="00BD485B" w:rsidP="00672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12" w:rsidRDefault="00253612" w:rsidP="00672D59">
    <w:pPr>
      <w:pStyle w:val="lfej"/>
      <w:jc w:val="right"/>
    </w:pPr>
    <w:r w:rsidRPr="00672D59">
      <w:rPr>
        <w:noProof/>
      </w:rPr>
      <w:drawing>
        <wp:inline distT="0" distB="0" distL="0" distR="0">
          <wp:extent cx="2105025" cy="1485900"/>
          <wp:effectExtent l="19050" t="0" r="9525" b="0"/>
          <wp:docPr id="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EA3"/>
    <w:rsid w:val="0002453C"/>
    <w:rsid w:val="00094A66"/>
    <w:rsid w:val="000E13C2"/>
    <w:rsid w:val="0016612D"/>
    <w:rsid w:val="001C0CE8"/>
    <w:rsid w:val="001F2079"/>
    <w:rsid w:val="00253612"/>
    <w:rsid w:val="00320D54"/>
    <w:rsid w:val="0036065A"/>
    <w:rsid w:val="00361C73"/>
    <w:rsid w:val="00367751"/>
    <w:rsid w:val="00384C3D"/>
    <w:rsid w:val="00385DB5"/>
    <w:rsid w:val="003C3205"/>
    <w:rsid w:val="003D6A28"/>
    <w:rsid w:val="00410157"/>
    <w:rsid w:val="004357CF"/>
    <w:rsid w:val="00474C51"/>
    <w:rsid w:val="004966E4"/>
    <w:rsid w:val="004F37C4"/>
    <w:rsid w:val="00513CD1"/>
    <w:rsid w:val="00547D82"/>
    <w:rsid w:val="0056236D"/>
    <w:rsid w:val="00573A86"/>
    <w:rsid w:val="00587A56"/>
    <w:rsid w:val="00591F91"/>
    <w:rsid w:val="00593077"/>
    <w:rsid w:val="00595A30"/>
    <w:rsid w:val="00595ED3"/>
    <w:rsid w:val="005F7AFC"/>
    <w:rsid w:val="006258D8"/>
    <w:rsid w:val="0063321B"/>
    <w:rsid w:val="00654F1A"/>
    <w:rsid w:val="00672D59"/>
    <w:rsid w:val="006A0547"/>
    <w:rsid w:val="00763B40"/>
    <w:rsid w:val="00766264"/>
    <w:rsid w:val="00775454"/>
    <w:rsid w:val="00784A7B"/>
    <w:rsid w:val="00791C1A"/>
    <w:rsid w:val="007B5A53"/>
    <w:rsid w:val="007C3995"/>
    <w:rsid w:val="007D4A47"/>
    <w:rsid w:val="008205C5"/>
    <w:rsid w:val="00821CA4"/>
    <w:rsid w:val="00836CF9"/>
    <w:rsid w:val="00847A37"/>
    <w:rsid w:val="0088161E"/>
    <w:rsid w:val="009216A8"/>
    <w:rsid w:val="00942A15"/>
    <w:rsid w:val="009525B7"/>
    <w:rsid w:val="00981E8F"/>
    <w:rsid w:val="009B0150"/>
    <w:rsid w:val="009B435A"/>
    <w:rsid w:val="009B46E5"/>
    <w:rsid w:val="009D4442"/>
    <w:rsid w:val="009E323F"/>
    <w:rsid w:val="009E7C3C"/>
    <w:rsid w:val="00A21A13"/>
    <w:rsid w:val="00A4279E"/>
    <w:rsid w:val="00AD50F5"/>
    <w:rsid w:val="00B20C7E"/>
    <w:rsid w:val="00B33065"/>
    <w:rsid w:val="00B349A3"/>
    <w:rsid w:val="00B760D4"/>
    <w:rsid w:val="00BB4B76"/>
    <w:rsid w:val="00BB7CFE"/>
    <w:rsid w:val="00BC1066"/>
    <w:rsid w:val="00BD485B"/>
    <w:rsid w:val="00BE2AE7"/>
    <w:rsid w:val="00C124E3"/>
    <w:rsid w:val="00C71189"/>
    <w:rsid w:val="00CA49E0"/>
    <w:rsid w:val="00CF009A"/>
    <w:rsid w:val="00CF178F"/>
    <w:rsid w:val="00D2197A"/>
    <w:rsid w:val="00D5300E"/>
    <w:rsid w:val="00D777C8"/>
    <w:rsid w:val="00DA04AB"/>
    <w:rsid w:val="00DB7F97"/>
    <w:rsid w:val="00DE5EA3"/>
    <w:rsid w:val="00DE6DA5"/>
    <w:rsid w:val="00E5052D"/>
    <w:rsid w:val="00E73CB9"/>
    <w:rsid w:val="00E94B90"/>
    <w:rsid w:val="00EA2FC2"/>
    <w:rsid w:val="00F24BB1"/>
    <w:rsid w:val="00F773C4"/>
    <w:rsid w:val="00F8376A"/>
    <w:rsid w:val="00FA70C0"/>
    <w:rsid w:val="00FB002C"/>
    <w:rsid w:val="00FB0C7E"/>
    <w:rsid w:val="00FE63EB"/>
    <w:rsid w:val="00FF1312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7A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E5E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hu-HU"/>
    </w:rPr>
  </w:style>
  <w:style w:type="table" w:styleId="Rcsostblzat">
    <w:name w:val="Table Grid"/>
    <w:basedOn w:val="Normltblzat"/>
    <w:rsid w:val="00DE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DE5EA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5EA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EA3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szakasz">
    <w:name w:val="szakasz"/>
    <w:basedOn w:val="Default"/>
    <w:qFormat/>
    <w:rsid w:val="00BE2AE7"/>
    <w:pPr>
      <w:jc w:val="both"/>
    </w:pPr>
    <w:rPr>
      <w:b/>
      <w:bCs/>
      <w:color w:val="00B0F0"/>
      <w:sz w:val="32"/>
      <w:szCs w:val="32"/>
      <w:u w:val="single"/>
    </w:rPr>
  </w:style>
  <w:style w:type="paragraph" w:customStyle="1" w:styleId="alhzott">
    <w:name w:val="aláhúzott"/>
    <w:basedOn w:val="Norml"/>
    <w:next w:val="Default"/>
    <w:qFormat/>
    <w:rsid w:val="00587A56"/>
    <w:rPr>
      <w:rFonts w:ascii="Arial,Bold" w:hAnsi="Arial,Bold" w:cs="Arial,Bold"/>
      <w:bCs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672D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72D59"/>
    <w:rPr>
      <w:rFonts w:ascii="Arial" w:eastAsia="Times New Roman" w:hAnsi="Arial" w:cs="Arial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2D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2D59"/>
    <w:rPr>
      <w:rFonts w:ascii="Arial" w:eastAsia="Times New Roman" w:hAnsi="Arial" w:cs="Arial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chael.dunkel@tmdfriction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2920</Words>
  <Characters>20150</Characters>
  <Application>Microsoft Office Word</Application>
  <DocSecurity>0</DocSecurity>
  <Lines>167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ptoth</cp:lastModifiedBy>
  <cp:revision>35</cp:revision>
  <dcterms:created xsi:type="dcterms:W3CDTF">2014-05-29T11:15:00Z</dcterms:created>
  <dcterms:modified xsi:type="dcterms:W3CDTF">2014-06-19T08:55:00Z</dcterms:modified>
</cp:coreProperties>
</file>